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Bdr>
          <w:bottom w:val="single" w:sz="28" w:space="6" w:color="C4942F"/>
        </w:pBdr>
        <w:spacing w:before="2300" w:after="320"/>
      </w:pPr>
      <w:r>
        <w:rPr>
          <w:lang w:val="pt-BR" w:eastAsia="pt-BR"/>
        </w:rPr>
        <w:t xml:space="preserve">O</w:t>
      </w:r>
      <w:r>
        <w:rPr>
          <w:lang w:val="pt-BR" w:eastAsia="pt-BR"/>
        </w:rPr>
        <w:t xml:space="preserve"> </w:t>
      </w:r>
      <w:r>
        <w:rPr>
          <w:lang w:val="pt-BR" w:eastAsia="pt-BR"/>
        </w:rPr>
        <w:t xml:space="preserve">HEBRAICO</w:t>
      </w:r>
      <w:r>
        <w:rPr>
          <w:lang w:val="pt-BR" w:eastAsia="pt-BR"/>
        </w:rPr>
        <w:t xml:space="preserve"> </w:t>
      </w:r>
      <w:r>
        <w:rPr>
          <w:lang w:val="pt-BR" w:eastAsia="pt-BR"/>
        </w:rPr>
        <w:t xml:space="preserve">É</w:t>
      </w:r>
      <w:r>
        <w:rPr>
          <w:lang w:val="pt-BR" w:eastAsia="pt-BR"/>
        </w:rPr>
        <w:t xml:space="preserve"> </w:t>
      </w:r>
      <w:r>
        <w:rPr>
          <w:lang w:val="pt-BR" w:eastAsia="pt-BR"/>
        </w:rPr>
        <w:t xml:space="preserve">A</w:t>
      </w:r>
      <w:r>
        <w:rPr>
          <w:lang w:val="pt-BR" w:eastAsia="pt-BR"/>
        </w:rPr>
        <w:t xml:space="preserve"> </w:t>
      </w:r>
      <w:r>
        <w:rPr>
          <w:lang w:val="pt-BR" w:eastAsia="pt-BR"/>
        </w:rPr>
        <w:t xml:space="preserve">LÍNGUA</w:t>
      </w:r>
      <w:r>
        <w:rPr>
          <w:lang w:val="pt-BR" w:eastAsia="pt-BR"/>
        </w:rPr>
        <w:t xml:space="preserve"> </w:t>
      </w:r>
      <w:r>
        <w:rPr>
          <w:lang w:val="pt-BR" w:eastAsia="pt-BR"/>
        </w:rPr>
        <w:t xml:space="preserve">ORIGINAL</w:t>
      </w:r>
      <w:r>
        <w:rPr>
          <w:lang w:val="pt-BR" w:eastAsia="pt-BR"/>
        </w:rPr>
        <w:t xml:space="preserve"> </w:t>
      </w:r>
      <w:r>
        <w:rPr>
          <w:lang w:val="pt-BR" w:eastAsia="pt-BR"/>
        </w:rPr>
        <w:t xml:space="preserve">DA</w:t>
      </w:r>
      <w:r>
        <w:rPr>
          <w:lang w:val="pt-BR" w:eastAsia="pt-BR"/>
        </w:rPr>
        <w:t xml:space="preserve"> </w:t>
      </w:r>
      <w:r>
        <w:rPr>
          <w:lang w:val="pt-BR" w:eastAsia="pt-BR"/>
        </w:rPr>
        <w:t xml:space="preserve">HUMANIDADE?</w:t>
      </w:r>
    </w:p>
    <w:p>
      <w:pPr>
        <w:pStyle w:val="Subtitle"/>
      </w:pPr>
      <w:r>
        <w:rPr>
          <w:lang w:val="pt-BR" w:eastAsia="pt-BR"/>
        </w:rPr>
        <w:t xml:space="preserve">Dossiê</w:t>
      </w:r>
      <w:r>
        <w:rPr>
          <w:lang w:val="pt-BR" w:eastAsia="pt-BR"/>
        </w:rPr>
        <w:t xml:space="preserve"> </w:t>
      </w:r>
      <w:r>
        <w:rPr>
          <w:lang w:val="pt-BR" w:eastAsia="pt-BR"/>
        </w:rPr>
        <w:t xml:space="preserve">acadêmico</w:t>
      </w:r>
      <w:r>
        <w:rPr>
          <w:lang w:val="pt-BR" w:eastAsia="pt-BR"/>
        </w:rPr>
        <w:t xml:space="preserve"> </w:t>
      </w:r>
      <w:r>
        <w:rPr>
          <w:lang w:val="pt-BR" w:eastAsia="pt-BR"/>
        </w:rPr>
        <w:t xml:space="preserve">de</w:t>
      </w:r>
      <w:r>
        <w:rPr>
          <w:lang w:val="pt-BR" w:eastAsia="pt-BR"/>
        </w:rPr>
        <w:t xml:space="preserve"> </w:t>
      </w:r>
      <w:r>
        <w:rPr>
          <w:lang w:val="pt-BR" w:eastAsia="pt-BR"/>
        </w:rPr>
        <w:t xml:space="preserve">linguística</w:t>
      </w:r>
      <w:r>
        <w:rPr>
          <w:lang w:val="pt-BR" w:eastAsia="pt-BR"/>
        </w:rPr>
        <w:t xml:space="preserve"> </w:t>
      </w:r>
      <w:r>
        <w:rPr>
          <w:lang w:val="pt-BR" w:eastAsia="pt-BR"/>
        </w:rPr>
        <w:t xml:space="preserve">histórica,</w:t>
      </w:r>
      <w:r>
        <w:rPr>
          <w:lang w:val="pt-BR" w:eastAsia="pt-BR"/>
        </w:rPr>
        <w:t xml:space="preserve"> </w:t>
      </w:r>
      <w:r>
        <w:rPr>
          <w:lang w:val="pt-BR" w:eastAsia="pt-BR"/>
        </w:rPr>
        <w:t xml:space="preserve">filologia</w:t>
      </w:r>
      <w:r>
        <w:rPr>
          <w:lang w:val="pt-BR" w:eastAsia="pt-BR"/>
        </w:rPr>
        <w:t xml:space="preserve"> </w:t>
      </w:r>
      <w:r>
        <w:rPr>
          <w:lang w:val="pt-BR" w:eastAsia="pt-BR"/>
        </w:rPr>
        <w:t xml:space="preserve">semítica,</w:t>
      </w:r>
      <w:r>
        <w:rPr>
          <w:lang w:val="pt-BR" w:eastAsia="pt-BR"/>
        </w:rPr>
        <w:t xml:space="preserve"> </w:t>
      </w:r>
      <w:r>
        <w:rPr>
          <w:lang w:val="pt-BR" w:eastAsia="pt-BR"/>
        </w:rPr>
        <w:t xml:space="preserve">epigrafia</w:t>
      </w:r>
      <w:r>
        <w:rPr>
          <w:lang w:val="pt-BR" w:eastAsia="pt-BR"/>
        </w:rPr>
        <w:t xml:space="preserve"> </w:t>
      </w:r>
      <w:r>
        <w:rPr>
          <w:lang w:val="pt-BR" w:eastAsia="pt-BR"/>
        </w:rPr>
        <w:t xml:space="preserve">e</w:t>
      </w:r>
      <w:r>
        <w:rPr>
          <w:lang w:val="pt-BR" w:eastAsia="pt-BR"/>
        </w:rPr>
        <w:t xml:space="preserve"> </w:t>
      </w:r>
      <w:r>
        <w:rPr>
          <w:lang w:val="pt-BR" w:eastAsia="pt-BR"/>
        </w:rPr>
        <w:t xml:space="preserve">história</w:t>
      </w:r>
      <w:r>
        <w:rPr>
          <w:lang w:val="pt-BR" w:eastAsia="pt-BR"/>
        </w:rPr>
        <w:t xml:space="preserve"> </w:t>
      </w:r>
      <w:r>
        <w:rPr>
          <w:lang w:val="pt-BR" w:eastAsia="pt-BR"/>
        </w:rPr>
        <w:t xml:space="preserve">intelectual</w:t>
      </w:r>
    </w:p>
    <w:p>
      <w:pPr>
        <w:pStyle w:val="Author"/>
      </w:pPr>
      <w:r>
        <w:rPr>
          <w:lang w:val="pt-BR" w:eastAsia="pt-BR"/>
        </w:rPr>
        <w:t xml:space="preserve">A</w:t>
      </w:r>
      <w:r>
        <w:rPr>
          <w:lang w:val="pt-BR" w:eastAsia="pt-BR"/>
        </w:rPr>
        <w:t xml:space="preserve"> </w:t>
      </w:r>
      <w:r>
        <w:rPr>
          <w:lang w:val="pt-BR" w:eastAsia="pt-BR"/>
        </w:rPr>
        <w:t xml:space="preserve">Bíblia</w:t>
      </w:r>
      <w:r>
        <w:rPr>
          <w:lang w:val="pt-BR" w:eastAsia="pt-BR"/>
        </w:rPr>
        <w:t xml:space="preserve"> </w:t>
      </w:r>
      <w:r>
        <w:rPr>
          <w:lang w:val="pt-BR" w:eastAsia="pt-BR"/>
        </w:rPr>
        <w:t xml:space="preserve">em</w:t>
      </w:r>
      <w:r>
        <w:rPr>
          <w:lang w:val="pt-BR" w:eastAsia="pt-BR"/>
        </w:rPr>
        <w:t xml:space="preserve"> </w:t>
      </w:r>
      <w:r>
        <w:rPr>
          <w:lang w:val="pt-BR" w:eastAsia="pt-BR"/>
        </w:rPr>
        <w:t xml:space="preserve">Análise</w:t>
      </w:r>
      <w:r>
        <w:rPr>
          <w:lang w:val="pt-BR" w:eastAsia="pt-BR"/>
        </w:rPr>
        <w:t xml:space="preserve"> </w:t>
      </w:r>
      <w:r>
        <w:rPr>
          <w:lang w:val="pt-BR" w:eastAsia="pt-BR"/>
        </w:rPr>
        <w:t xml:space="preserve">—</w:t>
      </w:r>
      <w:r>
        <w:rPr>
          <w:lang w:val="pt-BR" w:eastAsia="pt-BR"/>
        </w:rPr>
        <w:t xml:space="preserve"> </w:t>
      </w:r>
      <w:r>
        <w:rPr>
          <w:lang w:val="pt-BR" w:eastAsia="pt-BR"/>
        </w:rPr>
        <w:t xml:space="preserve">David</w:t>
      </w:r>
      <w:r>
        <w:rPr>
          <w:lang w:val="pt-BR" w:eastAsia="pt-BR"/>
        </w:rPr>
        <w:t xml:space="preserve"> </w:t>
      </w:r>
      <w:r>
        <w:rPr>
          <w:lang w:val="pt-BR" w:eastAsia="pt-BR"/>
        </w:rPr>
        <w:t xml:space="preserve">Tetzlaff</w:t>
      </w:r>
    </w:p>
    <w:p>
      <w:pPr>
        <w:pStyle w:val="Date"/>
      </w:pPr>
      <w:r>
        <w:rPr>
          <w:lang w:val="pt-BR" w:eastAsia="pt-BR"/>
        </w:rPr>
        <w:t xml:space="preserve">Edição</w:t>
      </w:r>
      <w:r>
        <w:rPr>
          <w:lang w:val="pt-BR" w:eastAsia="pt-BR"/>
        </w:rPr>
        <w:t xml:space="preserve"> </w:t>
      </w:r>
      <w:r>
        <w:rPr>
          <w:lang w:val="pt-BR" w:eastAsia="pt-BR"/>
        </w:rPr>
        <w:t xml:space="preserve">de</w:t>
      </w:r>
      <w:r>
        <w:rPr>
          <w:lang w:val="pt-BR" w:eastAsia="pt-BR"/>
        </w:rPr>
        <w:t xml:space="preserve"> </w:t>
      </w:r>
      <w:r>
        <w:rPr>
          <w:lang w:val="pt-BR" w:eastAsia="pt-BR"/>
        </w:rPr>
        <w:t xml:space="preserve">pesquisa</w:t>
      </w:r>
      <w:r>
        <w:rPr>
          <w:lang w:val="pt-BR" w:eastAsia="pt-BR"/>
        </w:rPr>
        <w:t xml:space="preserve"> </w:t>
      </w:r>
      <w:r>
        <w:rPr>
          <w:lang w:val="pt-BR" w:eastAsia="pt-BR"/>
        </w:rPr>
        <w:t xml:space="preserve">—</w:t>
      </w:r>
      <w:r>
        <w:rPr>
          <w:lang w:val="pt-BR" w:eastAsia="pt-BR"/>
        </w:rPr>
        <w:t xml:space="preserve"> </w:t>
      </w:r>
      <w:r>
        <w:rPr>
          <w:lang w:val="pt-BR" w:eastAsia="pt-BR"/>
        </w:rPr>
        <w:t xml:space="preserve">agosto</w:t>
      </w:r>
      <w:r>
        <w:rPr>
          <w:lang w:val="pt-BR" w:eastAsia="pt-BR"/>
        </w:rPr>
        <w:t xml:space="preserve"> </w:t>
      </w:r>
      <w:r>
        <w:rPr>
          <w:lang w:val="pt-BR" w:eastAsia="pt-BR"/>
        </w:rPr>
        <w:t xml:space="preserve">de</w:t>
      </w:r>
      <w:r>
        <w:rPr>
          <w:lang w:val="pt-BR" w:eastAsia="pt-BR"/>
        </w:rPr>
        <w:t xml:space="preserve"> </w:t>
      </w:r>
      <w:r>
        <w:rPr>
          <w:lang w:val="pt-BR" w:eastAsia="pt-BR"/>
        </w:rPr>
        <w:t xml:space="preserve">2026</w:t>
      </w:r>
      <w:r>
        <w:br w:type="page"/>
      </w:r>
    </w:p>
    <w:p>
      <w:bookmarkStart w:id="528" w:name="TOC"/>
      <w:pPr>
        <w:pStyle w:val="Heading1"/>
        <w:pageBreakBefore w:val="0"/>
        <w:spacing w:before="120"/>
        <w:pBdr>
          <w:bottom w:val="single" w:sz="12" w:space="6" w:color="C4942F"/>
        </w:pBdr>
      </w:pPr>
      <w:r>
        <w:t>SUMÁRIO NAVEGÁVEL</w:t>
      </w:r>
      <w:bookmarkEnd w:id="528"/>
    </w:p>
    <w:tbl>
      <w:tblPr>
        <w:tblW w:type="auto" w:w="0"/>
        <w:jc w:val="center"/>
        <w:tblLayout w:type="fixed"/>
        <w:tblLook w:firstColumn="1" w:firstRow="1" w:lastColumn="0" w:lastRow="0" w:noHBand="0" w:noVBand="1" w:val="04A0"/>
        <w:tblBorders>
          <w:top w:val="nil" w:sz="0" w:color="FFFFFF"/>
          <w:left w:val="nil" w:sz="0" w:color="FFFFFF"/>
          <w:bottom w:val="nil" w:sz="0" w:color="FFFFFF"/>
          <w:right w:val="nil" w:sz="0" w:color="FFFFFF"/>
          <w:insideH w:val="nil" w:sz="0" w:color="FFFFFF"/>
          <w:insideV w:val="nil" w:sz="0" w:color="FFFFFF"/>
        </w:tblBorders>
      </w:tblPr>
      <w:tblGrid>
        <w:gridCol w:w="4819"/>
        <w:gridCol w:w="4819"/>
      </w:tblGrid>
      <w:tr>
        <w:tc>
          <w:tcPr>
            <w:tcW w:type="dxa" w:w="4819"/>
            <w:tcMar>
              <w:top w:w="65" w:type="dxa"/>
              <w:start w:w="65" w:type="dxa"/>
              <w:bottom w:w="65" w:type="dxa"/>
              <w:end w:w="110" w:type="dxa"/>
            </w:tcMar>
          </w:tcPr>
          <w:p>
            <w:pPr>
              <w:spacing w:after="0" w:line="240" w:lineRule="auto"/>
            </w:pPr>
            <w:hyperlink w:anchor="sec_001">
              <w:r>
                <w:rPr>
                  <w:rFonts w:ascii="DejaVu Sans" w:hAnsi="DejaVu Sans"/>
                  <w:color w:val="0D5B65"/>
                  <w:sz w:val="16"/>
                </w:rPr>
                <w:t>Nota editorial e escopo</w:t>
              </w:r>
            </w:hyperlink>
          </w:p>
        </w:tc>
        <w:tc>
          <w:tcPr>
            <w:tcW w:type="dxa" w:w="4819"/>
            <w:tcMar>
              <w:top w:w="65" w:type="dxa"/>
              <w:start w:w="65" w:type="dxa"/>
              <w:bottom w:w="65" w:type="dxa"/>
              <w:end w:w="110" w:type="dxa"/>
            </w:tcMar>
          </w:tcPr>
          <w:p>
            <w:pPr>
              <w:spacing w:after="0" w:line="240" w:lineRule="auto"/>
            </w:pPr>
            <w:hyperlink w:anchor="sec_015">
              <w:r>
                <w:rPr>
                  <w:rFonts w:ascii="DejaVu Sans" w:hAnsi="DejaVu Sans"/>
                  <w:color w:val="0D5B65"/>
                  <w:sz w:val="16"/>
                </w:rPr>
                <w:t>13. Origem da linguagem humana</w:t>
              </w:r>
            </w:hyperlink>
          </w:p>
        </w:tc>
      </w:tr>
      <w:tr>
        <w:tc>
          <w:tcPr>
            <w:tcW w:type="dxa" w:w="4819"/>
            <w:tcMar>
              <w:top w:w="65" w:type="dxa"/>
              <w:start w:w="65" w:type="dxa"/>
              <w:bottom w:w="65" w:type="dxa"/>
              <w:end w:w="110" w:type="dxa"/>
            </w:tcMar>
          </w:tcPr>
          <w:p>
            <w:pPr>
              <w:spacing w:after="0" w:line="240" w:lineRule="auto"/>
            </w:pPr>
            <w:hyperlink w:anchor="sec_002">
              <w:r>
                <w:rPr>
                  <w:rFonts w:ascii="DejaVu Sans" w:hAnsi="DejaVu Sans"/>
                  <w:color w:val="0D5B65"/>
                  <w:sz w:val="16"/>
                </w:rPr>
                <w:t>Resumo executivo</w:t>
              </w:r>
            </w:hyperlink>
          </w:p>
        </w:tc>
        <w:tc>
          <w:tcPr>
            <w:tcW w:type="dxa" w:w="4819"/>
            <w:tcMar>
              <w:top w:w="65" w:type="dxa"/>
              <w:start w:w="65" w:type="dxa"/>
              <w:bottom w:w="65" w:type="dxa"/>
              <w:end w:w="110" w:type="dxa"/>
            </w:tcMar>
          </w:tcPr>
          <w:p>
            <w:pPr>
              <w:spacing w:after="0" w:line="240" w:lineRule="auto"/>
            </w:pPr>
            <w:hyperlink w:anchor="sec_016">
              <w:r>
                <w:rPr>
                  <w:rFonts w:ascii="DejaVu Sans" w:hAnsi="DejaVu Sans"/>
                  <w:color w:val="0D5B65"/>
                  <w:sz w:val="16"/>
                </w:rPr>
                <w:t>14. História intelectual da língua adâmica</w:t>
              </w:r>
            </w:hyperlink>
          </w:p>
        </w:tc>
      </w:tr>
      <w:tr>
        <w:tc>
          <w:tcPr>
            <w:tcW w:type="dxa" w:w="4819"/>
            <w:tcMar>
              <w:top w:w="65" w:type="dxa"/>
              <w:start w:w="65" w:type="dxa"/>
              <w:bottom w:w="65" w:type="dxa"/>
              <w:end w:w="110" w:type="dxa"/>
            </w:tcMar>
          </w:tcPr>
          <w:p>
            <w:pPr>
              <w:spacing w:after="0" w:line="240" w:lineRule="auto"/>
            </w:pPr>
            <w:hyperlink w:anchor="sec_003">
              <w:r>
                <w:rPr>
                  <w:rFonts w:ascii="DejaVu Sans" w:hAnsi="DejaVu Sans"/>
                  <w:color w:val="0D5B65"/>
                  <w:sz w:val="16"/>
                </w:rPr>
                <w:t>1. Definição da hipótese</w:t>
              </w:r>
            </w:hyperlink>
          </w:p>
        </w:tc>
        <w:tc>
          <w:tcPr>
            <w:tcW w:type="dxa" w:w="4819"/>
            <w:tcMar>
              <w:top w:w="65" w:type="dxa"/>
              <w:start w:w="65" w:type="dxa"/>
              <w:bottom w:w="65" w:type="dxa"/>
              <w:end w:w="110" w:type="dxa"/>
            </w:tcMar>
          </w:tcPr>
          <w:p>
            <w:pPr>
              <w:spacing w:after="0" w:line="240" w:lineRule="auto"/>
            </w:pPr>
            <w:hyperlink w:anchor="sec_017">
              <w:r>
                <w:rPr>
                  <w:rFonts w:ascii="DejaVu Sans" w:hAnsi="DejaVu Sans"/>
                  <w:color w:val="0D5B65"/>
                  <w:sz w:val="16"/>
                </w:rPr>
                <w:t>15. Gênesis 2, 10 e 11</w:t>
              </w:r>
            </w:hyperlink>
          </w:p>
        </w:tc>
      </w:tr>
      <w:tr>
        <w:tc>
          <w:tcPr>
            <w:tcW w:type="dxa" w:w="4819"/>
            <w:tcMar>
              <w:top w:w="65" w:type="dxa"/>
              <w:start w:w="65" w:type="dxa"/>
              <w:bottom w:w="65" w:type="dxa"/>
              <w:end w:w="110" w:type="dxa"/>
            </w:tcMar>
          </w:tcPr>
          <w:p>
            <w:pPr>
              <w:spacing w:after="0" w:line="240" w:lineRule="auto"/>
            </w:pPr>
            <w:hyperlink w:anchor="sec_004">
              <w:r>
                <w:rPr>
                  <w:rFonts w:ascii="DejaVu Sans" w:hAnsi="DejaVu Sans"/>
                  <w:color w:val="0D5B65"/>
                  <w:sz w:val="16"/>
                </w:rPr>
                <w:t>2. Metodologia</w:t>
              </w:r>
            </w:hyperlink>
          </w:p>
        </w:tc>
        <w:tc>
          <w:tcPr>
            <w:tcW w:type="dxa" w:w="4819"/>
            <w:tcMar>
              <w:top w:w="65" w:type="dxa"/>
              <w:start w:w="65" w:type="dxa"/>
              <w:bottom w:w="65" w:type="dxa"/>
              <w:end w:w="110" w:type="dxa"/>
            </w:tcMar>
          </w:tcPr>
          <w:p>
            <w:pPr>
              <w:spacing w:after="0" w:line="240" w:lineRule="auto"/>
            </w:pPr>
            <w:hyperlink w:anchor="sec_018">
              <w:r>
                <w:rPr>
                  <w:rFonts w:ascii="DejaVu Sans" w:hAnsi="DejaVu Sans"/>
                  <w:color w:val="0D5B65"/>
                  <w:sz w:val="16"/>
                </w:rPr>
                <w:t>16. Teste dos argumentos populares favoráveis</w:t>
              </w:r>
            </w:hyperlink>
          </w:p>
        </w:tc>
      </w:tr>
      <w:tr>
        <w:tc>
          <w:tcPr>
            <w:tcW w:type="dxa" w:w="4819"/>
            <w:tcMar>
              <w:top w:w="65" w:type="dxa"/>
              <w:start w:w="65" w:type="dxa"/>
              <w:bottom w:w="65" w:type="dxa"/>
              <w:end w:w="110" w:type="dxa"/>
            </w:tcMar>
          </w:tcPr>
          <w:p>
            <w:pPr>
              <w:spacing w:after="0" w:line="240" w:lineRule="auto"/>
            </w:pPr>
            <w:hyperlink w:anchor="sec_005">
              <w:r>
                <w:rPr>
                  <w:rFonts w:ascii="DejaVu Sans" w:hAnsi="DejaVu Sans"/>
                  <w:color w:val="0D5B65"/>
                  <w:sz w:val="16"/>
                </w:rPr>
                <w:t>3. Estado atual da pesquisa</w:t>
              </w:r>
            </w:hyperlink>
          </w:p>
        </w:tc>
        <w:tc>
          <w:tcPr>
            <w:tcW w:type="dxa" w:w="4819"/>
            <w:tcMar>
              <w:top w:w="65" w:type="dxa"/>
              <w:start w:w="65" w:type="dxa"/>
              <w:bottom w:w="65" w:type="dxa"/>
              <w:end w:w="110" w:type="dxa"/>
            </w:tcMar>
          </w:tcPr>
          <w:p>
            <w:pPr>
              <w:spacing w:after="0" w:line="240" w:lineRule="auto"/>
            </w:pPr>
            <w:hyperlink w:anchor="sec_019">
              <w:r>
                <w:rPr>
                  <w:rFonts w:ascii="DejaVu Sans" w:hAnsi="DejaVu Sans"/>
                  <w:color w:val="0D5B65"/>
                  <w:sz w:val="16"/>
                </w:rPr>
                <w:t>17. Falsificabilidade e comparação de modelos</w:t>
              </w:r>
            </w:hyperlink>
          </w:p>
        </w:tc>
      </w:tr>
      <w:tr>
        <w:tc>
          <w:tcPr>
            <w:tcW w:type="dxa" w:w="4819"/>
            <w:tcMar>
              <w:top w:w="65" w:type="dxa"/>
              <w:start w:w="65" w:type="dxa"/>
              <w:bottom w:w="65" w:type="dxa"/>
              <w:end w:w="110" w:type="dxa"/>
            </w:tcMar>
          </w:tcPr>
          <w:p>
            <w:pPr>
              <w:spacing w:after="0" w:line="240" w:lineRule="auto"/>
            </w:pPr>
            <w:hyperlink w:anchor="sec_006">
              <w:r>
                <w:rPr>
                  <w:rFonts w:ascii="DejaVu Sans" w:hAnsi="DejaVu Sans"/>
                  <w:color w:val="0D5B65"/>
                  <w:sz w:val="16"/>
                </w:rPr>
                <w:t>4. História linguística do hebraico</w:t>
              </w:r>
            </w:hyperlink>
          </w:p>
        </w:tc>
        <w:tc>
          <w:tcPr>
            <w:tcW w:type="dxa" w:w="4819"/>
            <w:tcMar>
              <w:top w:w="65" w:type="dxa"/>
              <w:start w:w="65" w:type="dxa"/>
              <w:bottom w:w="65" w:type="dxa"/>
              <w:end w:w="110" w:type="dxa"/>
            </w:tcMar>
          </w:tcPr>
          <w:p>
            <w:pPr>
              <w:spacing w:after="0" w:line="240" w:lineRule="auto"/>
            </w:pPr>
            <w:hyperlink w:anchor="sec_020">
              <w:r>
                <w:rPr>
                  <w:rFonts w:ascii="DejaVu Sans" w:hAnsi="DejaVu Sans"/>
                  <w:color w:val="0D5B65"/>
                  <w:sz w:val="16"/>
                </w:rPr>
                <w:t>18. Evidências contrárias organizadas por categoria</w:t>
              </w:r>
            </w:hyperlink>
          </w:p>
        </w:tc>
      </w:tr>
      <w:tr>
        <w:tc>
          <w:tcPr>
            <w:tcW w:type="dxa" w:w="4819"/>
            <w:tcMar>
              <w:top w:w="65" w:type="dxa"/>
              <w:start w:w="65" w:type="dxa"/>
              <w:bottom w:w="65" w:type="dxa"/>
              <w:end w:w="110" w:type="dxa"/>
            </w:tcMar>
          </w:tcPr>
          <w:p>
            <w:pPr>
              <w:spacing w:after="0" w:line="240" w:lineRule="auto"/>
            </w:pPr>
            <w:hyperlink w:anchor="sec_007">
              <w:r>
                <w:rPr>
                  <w:rFonts w:ascii="DejaVu Sans" w:hAnsi="DejaVu Sans"/>
                  <w:color w:val="0D5B65"/>
                  <w:sz w:val="16"/>
                </w:rPr>
                <w:t>5. Posição filogenética do hebraico</w:t>
              </w:r>
            </w:hyperlink>
          </w:p>
        </w:tc>
        <w:tc>
          <w:tcPr>
            <w:tcW w:type="dxa" w:w="4819"/>
            <w:tcMar>
              <w:top w:w="65" w:type="dxa"/>
              <w:start w:w="65" w:type="dxa"/>
              <w:bottom w:w="65" w:type="dxa"/>
              <w:end w:w="110" w:type="dxa"/>
            </w:tcMar>
          </w:tcPr>
          <w:p>
            <w:pPr>
              <w:spacing w:after="0" w:line="240" w:lineRule="auto"/>
            </w:pPr>
            <w:hyperlink w:anchor="sec_021">
              <w:r>
                <w:rPr>
                  <w:rFonts w:ascii="DejaVu Sans" w:hAnsi="DejaVu Sans"/>
                  <w:color w:val="0D5B65"/>
                  <w:sz w:val="16"/>
                </w:rPr>
                <w:t>19. O que não pode ser provado</w:t>
              </w:r>
            </w:hyperlink>
          </w:p>
        </w:tc>
      </w:tr>
      <w:tr>
        <w:tc>
          <w:tcPr>
            <w:tcW w:type="dxa" w:w="4819"/>
            <w:tcMar>
              <w:top w:w="65" w:type="dxa"/>
              <w:start w:w="65" w:type="dxa"/>
              <w:bottom w:w="65" w:type="dxa"/>
              <w:end w:w="110" w:type="dxa"/>
            </w:tcMar>
          </w:tcPr>
          <w:p>
            <w:pPr>
              <w:spacing w:after="0" w:line="240" w:lineRule="auto"/>
            </w:pPr>
            <w:hyperlink w:anchor="sec_008">
              <w:r>
                <w:rPr>
                  <w:rFonts w:ascii="DejaVu Sans" w:hAnsi="DejaVu Sans"/>
                  <w:color w:val="0D5B65"/>
                  <w:sz w:val="16"/>
                </w:rPr>
                <w:t>6. Proto-Semítico</w:t>
              </w:r>
            </w:hyperlink>
          </w:p>
        </w:tc>
        <w:tc>
          <w:tcPr>
            <w:tcW w:type="dxa" w:w="4819"/>
            <w:tcMar>
              <w:top w:w="65" w:type="dxa"/>
              <w:start w:w="65" w:type="dxa"/>
              <w:bottom w:w="65" w:type="dxa"/>
              <w:end w:w="110" w:type="dxa"/>
            </w:tcMar>
          </w:tcPr>
          <w:p>
            <w:pPr>
              <w:spacing w:after="0" w:line="240" w:lineRule="auto"/>
            </w:pPr>
            <w:hyperlink w:anchor="sec_022">
              <w:r>
                <w:rPr>
                  <w:rFonts w:ascii="DejaVu Sans" w:hAnsi="DejaVu Sans"/>
                  <w:color w:val="0D5B65"/>
                  <w:sz w:val="16"/>
                </w:rPr>
                <w:t>20. Árvore filogenética acadêmica</w:t>
              </w:r>
            </w:hyperlink>
          </w:p>
        </w:tc>
      </w:tr>
      <w:tr>
        <w:tc>
          <w:tcPr>
            <w:tcW w:type="dxa" w:w="4819"/>
            <w:tcMar>
              <w:top w:w="65" w:type="dxa"/>
              <w:start w:w="65" w:type="dxa"/>
              <w:bottom w:w="65" w:type="dxa"/>
              <w:end w:w="110" w:type="dxa"/>
            </w:tcMar>
          </w:tcPr>
          <w:p>
            <w:pPr>
              <w:spacing w:after="0" w:line="240" w:lineRule="auto"/>
            </w:pPr>
            <w:hyperlink w:anchor="sec_009">
              <w:r>
                <w:rPr>
                  <w:rFonts w:ascii="DejaVu Sans" w:hAnsi="DejaVu Sans"/>
                  <w:color w:val="0D5B65"/>
                  <w:sz w:val="16"/>
                </w:rPr>
                <w:t>7. Proto-Afro-Asiático</w:t>
              </w:r>
            </w:hyperlink>
          </w:p>
        </w:tc>
        <w:tc>
          <w:tcPr>
            <w:tcW w:type="dxa" w:w="4819"/>
            <w:tcMar>
              <w:top w:w="65" w:type="dxa"/>
              <w:start w:w="65" w:type="dxa"/>
              <w:bottom w:w="65" w:type="dxa"/>
              <w:end w:w="110" w:type="dxa"/>
            </w:tcMar>
          </w:tcPr>
          <w:p>
            <w:pPr>
              <w:spacing w:after="0" w:line="240" w:lineRule="auto"/>
            </w:pPr>
            <w:hyperlink w:anchor="sec_023">
              <w:r>
                <w:rPr>
                  <w:rFonts w:ascii="DejaVu Sans" w:hAnsi="DejaVu Sans"/>
                  <w:color w:val="0D5B65"/>
                  <w:sz w:val="16"/>
                </w:rPr>
                <w:t>21. Linha do tempo: ~10.000 a.C. a ~500 a.C.</w:t>
              </w:r>
            </w:hyperlink>
          </w:p>
        </w:tc>
      </w:tr>
      <w:tr>
        <w:tc>
          <w:tcPr>
            <w:tcW w:type="dxa" w:w="4819"/>
            <w:tcMar>
              <w:top w:w="65" w:type="dxa"/>
              <w:start w:w="65" w:type="dxa"/>
              <w:bottom w:w="65" w:type="dxa"/>
              <w:end w:w="110" w:type="dxa"/>
            </w:tcMar>
          </w:tcPr>
          <w:p>
            <w:pPr>
              <w:spacing w:after="0" w:line="240" w:lineRule="auto"/>
            </w:pPr>
            <w:hyperlink w:anchor="sec_010">
              <w:r>
                <w:rPr>
                  <w:rFonts w:ascii="DejaVu Sans" w:hAnsi="DejaVu Sans"/>
                  <w:color w:val="0D5B65"/>
                  <w:sz w:val="16"/>
                </w:rPr>
                <w:t>8. Evidência epigráfica: quando existe hebraico propriamente dito?</w:t>
              </w:r>
            </w:hyperlink>
          </w:p>
        </w:tc>
        <w:tc>
          <w:tcPr>
            <w:tcW w:type="dxa" w:w="4819"/>
            <w:tcMar>
              <w:top w:w="65" w:type="dxa"/>
              <w:start w:w="65" w:type="dxa"/>
              <w:bottom w:w="65" w:type="dxa"/>
              <w:end w:w="110" w:type="dxa"/>
            </w:tcMar>
          </w:tcPr>
          <w:p>
            <w:pPr>
              <w:spacing w:after="0" w:line="240" w:lineRule="auto"/>
            </w:pPr>
            <w:hyperlink w:anchor="sec_024">
              <w:r>
                <w:rPr>
                  <w:rFonts w:ascii="DejaVu Sans" w:hAnsi="DejaVu Sans"/>
                  <w:color w:val="0D5B65"/>
                  <w:sz w:val="16"/>
                </w:rPr>
                <w:t>22. Tabela comparativa consolidada</w:t>
              </w:r>
            </w:hyperlink>
          </w:p>
        </w:tc>
      </w:tr>
      <w:tr>
        <w:tc>
          <w:tcPr>
            <w:tcW w:type="dxa" w:w="4819"/>
            <w:tcMar>
              <w:top w:w="65" w:type="dxa"/>
              <w:start w:w="65" w:type="dxa"/>
              <w:bottom w:w="65" w:type="dxa"/>
              <w:end w:w="110" w:type="dxa"/>
            </w:tcMar>
          </w:tcPr>
          <w:p>
            <w:pPr>
              <w:spacing w:after="0" w:line="240" w:lineRule="auto"/>
            </w:pPr>
            <w:hyperlink w:anchor="sec_011">
              <w:r>
                <w:rPr>
                  <w:rFonts w:ascii="DejaVu Sans" w:hAnsi="DejaVu Sans"/>
                  <w:color w:val="0D5B65"/>
                  <w:sz w:val="16"/>
                </w:rPr>
                <w:t>9. Línguas documentadas anteriores ao hebraico</w:t>
              </w:r>
            </w:hyperlink>
          </w:p>
        </w:tc>
        <w:tc>
          <w:tcPr>
            <w:tcW w:type="dxa" w:w="4819"/>
            <w:tcMar>
              <w:top w:w="65" w:type="dxa"/>
              <w:start w:w="65" w:type="dxa"/>
              <w:bottom w:w="65" w:type="dxa"/>
              <w:end w:w="110" w:type="dxa"/>
            </w:tcMar>
          </w:tcPr>
          <w:p>
            <w:pPr>
              <w:spacing w:after="0" w:line="240" w:lineRule="auto"/>
            </w:pPr>
            <w:hyperlink w:anchor="sec_025">
              <w:r>
                <w:rPr>
                  <w:rFonts w:ascii="DejaVu Sans" w:hAnsi="DejaVu Sans"/>
                  <w:color w:val="0D5B65"/>
                  <w:sz w:val="16"/>
                </w:rPr>
                <w:t>23. Conclusão e veredito</w:t>
              </w:r>
            </w:hyperlink>
          </w:p>
        </w:tc>
      </w:tr>
      <w:tr>
        <w:tc>
          <w:tcPr>
            <w:tcW w:type="dxa" w:w="4819"/>
            <w:tcMar>
              <w:top w:w="65" w:type="dxa"/>
              <w:start w:w="65" w:type="dxa"/>
              <w:bottom w:w="65" w:type="dxa"/>
              <w:end w:w="110" w:type="dxa"/>
            </w:tcMar>
          </w:tcPr>
          <w:p>
            <w:pPr>
              <w:spacing w:after="0" w:line="240" w:lineRule="auto"/>
            </w:pPr>
            <w:hyperlink w:anchor="sec_012">
              <w:r>
                <w:rPr>
                  <w:rFonts w:ascii="DejaVu Sans" w:hAnsi="DejaVu Sans"/>
                  <w:color w:val="0D5B65"/>
                  <w:sz w:val="16"/>
                </w:rPr>
                <w:t>10. Hebraico e outras línguas cananeias</w:t>
              </w:r>
            </w:hyperlink>
          </w:p>
        </w:tc>
        <w:tc>
          <w:tcPr>
            <w:tcW w:type="dxa" w:w="4819"/>
            <w:tcMar>
              <w:top w:w="65" w:type="dxa"/>
              <w:start w:w="65" w:type="dxa"/>
              <w:bottom w:w="65" w:type="dxa"/>
              <w:end w:w="110" w:type="dxa"/>
            </w:tcMar>
          </w:tcPr>
          <w:p>
            <w:pPr>
              <w:spacing w:after="0" w:line="240" w:lineRule="auto"/>
            </w:pPr>
            <w:hyperlink w:anchor="sec_026">
              <w:r>
                <w:rPr>
                  <w:rFonts w:ascii="DejaVu Sans" w:hAnsi="DejaVu Sans"/>
                  <w:color w:val="0D5B65"/>
                  <w:sz w:val="16"/>
                </w:rPr>
                <w:t>Bibliografia acadêmica</w:t>
              </w:r>
            </w:hyperlink>
          </w:p>
        </w:tc>
      </w:tr>
      <w:tr>
        <w:tc>
          <w:tcPr>
            <w:tcW w:type="dxa" w:w="4819"/>
            <w:tcMar>
              <w:top w:w="65" w:type="dxa"/>
              <w:start w:w="65" w:type="dxa"/>
              <w:bottom w:w="65" w:type="dxa"/>
              <w:end w:w="110" w:type="dxa"/>
            </w:tcMar>
          </w:tcPr>
          <w:p>
            <w:pPr>
              <w:spacing w:after="0" w:line="240" w:lineRule="auto"/>
            </w:pPr>
            <w:hyperlink w:anchor="sec_013">
              <w:r>
                <w:rPr>
                  <w:rFonts w:ascii="DejaVu Sans" w:hAnsi="DejaVu Sans"/>
                  <w:color w:val="0D5B65"/>
                  <w:sz w:val="16"/>
                </w:rPr>
                <w:t>11. O acadiano como teste crítico</w:t>
              </w:r>
            </w:hyperlink>
          </w:p>
        </w:tc>
        <w:tc>
          <w:tcPr>
            <w:tcW w:type="dxa" w:w="4819"/>
            <w:tcMar>
              <w:top w:w="65" w:type="dxa"/>
              <w:start w:w="65" w:type="dxa"/>
              <w:bottom w:w="65" w:type="dxa"/>
              <w:end w:w="110" w:type="dxa"/>
            </w:tcMar>
          </w:tcPr>
          <w:p>
            <w:pPr>
              <w:spacing w:after="0" w:line="240" w:lineRule="auto"/>
            </w:pPr>
            <w:hyperlink w:anchor="sec_027">
              <w:r>
                <w:rPr>
                  <w:rFonts w:ascii="DejaVu Sans" w:hAnsi="DejaVu Sans"/>
                  <w:color w:val="0D5B65"/>
                  <w:sz w:val="16"/>
                </w:rPr>
                <w:t>Apêndice A. Escala de confiança usada</w:t>
              </w:r>
            </w:hyperlink>
          </w:p>
        </w:tc>
      </w:tr>
      <w:tr>
        <w:tc>
          <w:tcPr>
            <w:tcW w:type="dxa" w:w="4819"/>
            <w:tcMar>
              <w:top w:w="65" w:type="dxa"/>
              <w:start w:w="65" w:type="dxa"/>
              <w:bottom w:w="65" w:type="dxa"/>
              <w:end w:w="110" w:type="dxa"/>
            </w:tcMar>
          </w:tcPr>
          <w:p>
            <w:pPr>
              <w:spacing w:after="0" w:line="240" w:lineRule="auto"/>
            </w:pPr>
            <w:hyperlink w:anchor="sec_014">
              <w:r>
                <w:rPr>
                  <w:rFonts w:ascii="DejaVu Sans" w:hAnsi="DejaVu Sans"/>
                  <w:color w:val="0D5B65"/>
                  <w:sz w:val="16"/>
                </w:rPr>
                <w:t>12. Sumério</w:t>
              </w:r>
            </w:hyperlink>
          </w:p>
        </w:tc>
        <w:tc>
          <w:tcPr>
            <w:tcW w:type="dxa" w:w="4819"/>
            <w:tcMar>
              <w:top w:w="65" w:type="dxa"/>
              <w:start w:w="65" w:type="dxa"/>
              <w:bottom w:w="65" w:type="dxa"/>
              <w:end w:w="110" w:type="dxa"/>
            </w:tcMar>
          </w:tcPr>
          <w:p>
            <w:pPr>
              <w:spacing w:after="0" w:line="240" w:lineRule="auto"/>
            </w:pPr>
            <w:hyperlink w:anchor="sec_028">
              <w:r>
                <w:rPr>
                  <w:rFonts w:ascii="DejaVu Sans" w:hAnsi="DejaVu Sans"/>
                  <w:color w:val="0D5B65"/>
                  <w:sz w:val="16"/>
                </w:rPr>
                <w:t>Apêndice B. Checklist para avaliar novas alegações etimológicas</w:t>
              </w:r>
            </w:hyperlink>
          </w:p>
        </w:tc>
      </w:tr>
    </w:tbl>
    <w:bookmarkStart w:id="20" w:name="nota-editorial-e-escopo"/>
    <w:p>
      <w:bookmarkStart w:id="500" w:name="sec_001"/>
      <w:pPr>
        <w:pStyle w:val="Heading1"/>
        <w:pageBreakBefore/>
        <w:pBdr>
          <w:bottom w:val="single" w:sz="12" w:space="6" w:color="C4942F"/>
        </w:pBdr>
      </w:pPr>
      <w:r>
        <w:rPr>
          <w:lang w:val="pt-BR" w:eastAsia="pt-BR"/>
        </w:rPr>
        <w:t xml:space="preserve">Nota editorial e escopo</w:t>
      </w:r>
      <w:bookmarkEnd w:id="500"/>
    </w:p>
    <w:p>
      <w:pPr>
        <w:pStyle w:val="FirstParagraph"/>
      </w:pPr>
      <w:r>
        <w:rPr>
          <w:lang w:val="pt-BR" w:eastAsia="pt-BR"/>
        </w:rPr>
        <w:t xml:space="preserve">Este dossiê testa, e não simplesmente rejeita, a afirmação de que o hebraico teria sido a primeira língua humana, a língua de Adão, a língua universal anterior à Torre de Babel ou a matriz histórica de todas as línguas. A investigação separa afirmações teológicas, interpretações do texto bíblico e hipóteses empiricamente testáveis. O padrão de prova aplicado ao hebraico é o mesmo usado para qualquer proposta de parentesco linguístico: correspondências fonológicas regulares, morfologia comparável, reconstruções intermediárias, cronologia compatível e documentação histórica.</w:t>
      </w:r>
    </w:p>
    <w:p>
      <w:pPr>
        <w:pStyle w:val="BodyText"/>
      </w:pPr>
      <w:r>
        <w:rPr>
          <w:lang w:val="pt-BR" w:eastAsia="pt-BR"/>
        </w:rPr>
        <w:t xml:space="preserve">As datas são aproximadas.</w:t>
      </w:r>
      <w:r>
        <w:rPr>
          <w:lang w:val="pt-BR" w:eastAsia="pt-BR"/>
        </w:rPr>
        <w:t xml:space="preserve"> </w:t>
      </w:r>
      <w:r>
        <w:rPr>
          <w:lang w:val="pt-BR" w:eastAsia="pt-BR"/>
        </w:rPr>
        <w:t xml:space="preserve">“</w:t>
      </w:r>
      <w:r>
        <w:rPr>
          <w:lang w:val="pt-BR" w:eastAsia="pt-BR"/>
        </w:rPr>
        <w:t xml:space="preserve">a.C.</w:t>
      </w:r>
      <w:r>
        <w:rPr>
          <w:lang w:val="pt-BR" w:eastAsia="pt-BR"/>
        </w:rPr>
        <w:t xml:space="preserve">”</w:t>
      </w:r>
      <w:r>
        <w:rPr>
          <w:lang w:val="pt-BR" w:eastAsia="pt-BR"/>
        </w:rPr>
        <w:t xml:space="preserve"> </w:t>
      </w:r>
      <w:r>
        <w:rPr>
          <w:lang w:val="pt-BR" w:eastAsia="pt-BR"/>
        </w:rPr>
        <w:t xml:space="preserve">e</w:t>
      </w:r>
      <w:r>
        <w:rPr>
          <w:lang w:val="pt-BR" w:eastAsia="pt-BR"/>
        </w:rPr>
        <w:t xml:space="preserve"> </w:t>
      </w:r>
      <w:r>
        <w:rPr>
          <w:lang w:val="pt-BR" w:eastAsia="pt-BR"/>
        </w:rPr>
        <w:t xml:space="preserve">“</w:t>
      </w:r>
      <w:r>
        <w:rPr>
          <w:lang w:val="pt-BR" w:eastAsia="pt-BR"/>
        </w:rPr>
        <w:t xml:space="preserve">d.C.</w:t>
      </w:r>
      <w:r>
        <w:rPr>
          <w:lang w:val="pt-BR" w:eastAsia="pt-BR"/>
        </w:rPr>
        <w:t xml:space="preserve">”</w:t>
      </w:r>
      <w:r>
        <w:rPr>
          <w:lang w:val="pt-BR" w:eastAsia="pt-BR"/>
        </w:rPr>
        <w:t xml:space="preserve"> </w:t>
      </w:r>
      <w:r>
        <w:rPr>
          <w:lang w:val="pt-BR" w:eastAsia="pt-BR"/>
        </w:rPr>
        <w:t xml:space="preserve">indicam a era comum tradicional; o símbolo</w:t>
      </w:r>
      <w:r>
        <w:rPr>
          <w:lang w:val="pt-BR" w:eastAsia="pt-BR"/>
        </w:rPr>
        <w:t xml:space="preserve"> </w:t>
      </w:r>
      <w:r>
        <w:rPr>
          <w:lang w:val="pt-BR" w:eastAsia="pt-BR"/>
        </w:rPr>
        <w:t xml:space="preserve">“</w:t>
      </w:r>
      <w:r>
        <w:rPr>
          <w:lang w:val="pt-BR" w:eastAsia="pt-BR"/>
        </w:rPr>
        <w:t xml:space="preserve">~</w:t>
      </w:r>
      <w:r>
        <w:rPr>
          <w:lang w:val="pt-BR" w:eastAsia="pt-BR"/>
        </w:rPr>
        <w:t xml:space="preserve">”</w:t>
      </w:r>
      <w:r>
        <w:rPr>
          <w:lang w:val="pt-BR" w:eastAsia="pt-BR"/>
        </w:rPr>
        <w:t xml:space="preserve"> </w:t>
      </w:r>
      <w:r>
        <w:rPr>
          <w:lang w:val="pt-BR" w:eastAsia="pt-BR"/>
        </w:rPr>
        <w:t xml:space="preserve">assinala aproximação; intervalos largos expressam incerteza real. Uma data de divergência reconstruída não é a data do primeiro texto preservado. Uma escrita não é uma língua. Uma proto-língua reconstruída não é um documento descoberto.</w:t>
      </w:r>
    </w:p>
    <w:p>
      <w:pPr>
        <w:pStyle w:val="BodyText"/>
        <w:spacing w:before="120" w:after="140"/>
        <w:ind w:left="283" w:right="170"/>
        <w:pBdr>
          <w:bottom w:val="single" w:sz="6" w:space="6" w:color="B9D6D9"/>
        </w:pBdr>
      </w:pPr>
      <w:r>
        <w:rPr>
          <w:bCs/>
          <w:b/>
          <w:lang w:val="pt-BR" w:eastAsia="pt-BR"/>
        </w:rPr>
        <w:t xml:space="preserve">Pergunta central:</w:t>
      </w:r>
      <w:r>
        <w:rPr>
          <w:lang w:val="pt-BR" w:eastAsia="pt-BR"/>
        </w:rPr>
        <w:t xml:space="preserve"> </w:t>
      </w:r>
      <w:r>
        <w:rPr>
          <w:lang w:val="pt-BR" w:eastAsia="pt-BR"/>
        </w:rPr>
        <w:t xml:space="preserve">o modelo</w:t>
      </w:r>
      <w:r>
        <w:rPr>
          <w:lang w:val="pt-BR" w:eastAsia="pt-BR"/>
        </w:rPr>
        <w:t xml:space="preserve"> </w:t>
      </w:r>
      <w:r>
        <w:rPr>
          <w:lang w:val="pt-BR" w:eastAsia="pt-BR"/>
        </w:rPr>
        <w:t xml:space="preserve">“</w:t>
      </w:r>
      <w:r>
        <w:rPr>
          <w:lang w:val="pt-BR" w:eastAsia="pt-BR"/>
        </w:rPr>
        <w:t xml:space="preserve">todas as línguas descendem do hebraico</w:t>
      </w:r>
      <w:r>
        <w:rPr>
          <w:lang w:val="pt-BR" w:eastAsia="pt-BR"/>
        </w:rPr>
        <w:t xml:space="preserve">”</w:t>
      </w:r>
      <w:r>
        <w:rPr>
          <w:lang w:val="pt-BR" w:eastAsia="pt-BR"/>
        </w:rPr>
        <w:t xml:space="preserve"> </w:t>
      </w:r>
      <w:r>
        <w:rPr>
          <w:lang w:val="pt-BR" w:eastAsia="pt-BR"/>
        </w:rPr>
        <w:t xml:space="preserve">explica os dados de modo mais completo e econômico que o modelo acadêmico no qual o hebraico é uma variedade cananeia da Idade do Ferro, descendente de ancestrais semíticos e afro-asiáticos mais antigos?</w:t>
      </w:r>
    </w:p>
    <w:p>
      <w:pPr>
        <w:pStyle w:val="BodyText"/>
        <w:spacing w:before="120" w:after="140"/>
        <w:ind w:left="283" w:right="170"/>
        <w:pBdr>
          <w:bottom w:val="single" w:sz="6" w:space="6" w:color="B9D6D9"/>
        </w:pBdr>
      </w:pPr>
      <w:r>
        <w:rPr>
          <w:bCs/>
          <w:b/>
          <w:lang w:val="pt-BR" w:eastAsia="pt-BR"/>
        </w:rPr>
        <w:t xml:space="preserve">Resposta resumida:</w:t>
      </w:r>
      <w:r>
        <w:rPr>
          <w:lang w:val="pt-BR" w:eastAsia="pt-BR"/>
        </w:rPr>
        <w:t xml:space="preserve"> </w:t>
      </w:r>
      <w:r>
        <w:rPr>
          <w:lang w:val="pt-BR" w:eastAsia="pt-BR"/>
        </w:rPr>
        <w:t xml:space="preserve">não. A documentação, a filogenia e as correspondências regulares oferecem evidência positiva incompatível com o hebraico como ancestral das demais línguas semíticas, e não apenas ausência de prova. Isso, porém, não identifica qual teria sido a primeira língua falada pela humanidade — questão que permanece fora do alcance dos dados disponíveis.</w:t>
      </w:r>
    </w:p>
    <w:bookmarkEnd w:id="20"/>
    <w:bookmarkStart w:id="24" w:name="resumo-executivo"/>
    <w:p>
      <w:bookmarkStart w:id="501" w:name="sec_002"/>
      <w:pPr>
        <w:pStyle w:val="Heading1"/>
        <w:pBdr>
          <w:bottom w:val="single" w:sz="12" w:space="6" w:color="C4942F"/>
        </w:pBdr>
      </w:pPr>
      <w:r>
        <w:rPr>
          <w:lang w:val="pt-BR" w:eastAsia="pt-BR"/>
        </w:rPr>
        <w:t xml:space="preserve">Resumo executivo</w:t>
      </w:r>
      <w:bookmarkEnd w:id="501"/>
    </w:p>
    <w:bookmarkStart w:id="21" w:name="resultado-em-uma-página"/>
    <w:p>
      <w:pPr>
        <w:pStyle w:val="Heading2"/>
      </w:pPr>
      <w:r>
        <w:rPr>
          <w:lang w:val="pt-BR" w:eastAsia="pt-BR"/>
        </w:rPr>
        <w:t xml:space="preserve">Resultado em uma página</w:t>
      </w:r>
    </w:p>
    <w:p>
      <w:pPr>
        <w:pStyle w:val="FirstParagraph"/>
      </w:pPr>
      <w:r>
        <w:rPr>
          <w:lang w:val="pt-BR" w:eastAsia="pt-BR"/>
        </w:rPr>
        <w:t xml:space="preserve">O hebraico é uma língua semítica noroeste do grupo cananeu. Ele compartilha com fenício, moabita, amonita e edomita inovações herdadas de ancestrais comuns, ao mesmo tempo que possui mudanças próprias. O acadiano e o eblaíta, ramos semíticos orientais, estão documentados aproximadamente um milênio e meio antes dos primeiros textos inequivocamente hebraicos. Sumério e egípcio possuem documentação escrita ainda mais antiga. Isso não faz dessas línguas</w:t>
      </w:r>
      <w:r>
        <w:rPr>
          <w:lang w:val="pt-BR" w:eastAsia="pt-BR"/>
        </w:rPr>
        <w:t xml:space="preserve"> </w:t>
      </w:r>
      <w:r>
        <w:rPr>
          <w:lang w:val="pt-BR" w:eastAsia="pt-BR"/>
        </w:rPr>
        <w:t xml:space="preserve">“</w:t>
      </w:r>
      <w:r>
        <w:rPr>
          <w:lang w:val="pt-BR" w:eastAsia="pt-BR"/>
        </w:rPr>
        <w:t xml:space="preserve">as primeiras línguas faladas</w:t>
      </w:r>
      <w:r>
        <w:rPr>
          <w:lang w:val="pt-BR" w:eastAsia="pt-BR"/>
        </w:rPr>
        <w:t xml:space="preserve">”</w:t>
      </w:r>
      <w:r>
        <w:rPr>
          <w:lang w:val="pt-BR" w:eastAsia="pt-BR"/>
        </w:rPr>
        <w:t xml:space="preserve">, mas invalida a afirmação de que o hebraico é a língua escrita mais antiga conhecida.</w:t>
      </w:r>
    </w:p>
    <w:p>
      <w:pPr>
        <w:pStyle w:val="BodyText"/>
      </w:pPr>
      <w:r>
        <w:rPr>
          <w:lang w:val="pt-BR" w:eastAsia="pt-BR"/>
        </w:rPr>
        <w:t xml:space="preserve">O Proto-Semítico é uma reconstrução comparativa anterior à diferenciação entre acadiano, línguas semíticas noroestes, árabe e grupos semíticos meridionais. Ele é situado, com larga margem de incerteza, antes ou por volta do fim do IV milênio a.C. Nenhuma língua filha preserva todo o sistema reconstruído. O hebraico fundiu consoantes que ugarítico e árabe mantiveram distintas, perdeu o sistema produtivo de casos nominais preservado em acadiano, ugarítico e árabe clássico, restringiu o dual e participou de inovações cananeias, como a mudança de *ā para ō em contextos definidos. Esses fatos têm a forma esperada quando línguas-irmãs descendem de um ancestral comum; não têm a forma esperada se acadiano, árabe e ugarítico derivassem do hebraico.</w:t>
      </w:r>
    </w:p>
    <w:p>
      <w:pPr>
        <w:pStyle w:val="BodyText"/>
      </w:pPr>
      <w:r>
        <w:rPr>
          <w:lang w:val="pt-BR" w:eastAsia="pt-BR"/>
        </w:rPr>
        <w:t xml:space="preserve">O Afro-Asiático reúne, em sua delimitação mais comum, semítico, egípcio, berbere, cuchítico, chádico e, em muitas classificações, omótico. A inclusão e a posição do omótico são controversas, assim como a árvore interna, a data e a região de origem do Proto-Afro-Asiático. Justamente por ser muito mais remoto, sua reconstrução é menos segura que a do Proto-Semítico. Nenhuma reconstrução acadêmica identifica o Proto-Afro-Asiático com o hebraico.</w:t>
      </w:r>
    </w:p>
    <w:p>
      <w:pPr>
        <w:pStyle w:val="BodyText"/>
      </w:pPr>
      <w:r>
        <w:rPr>
          <w:lang w:val="pt-BR" w:eastAsia="pt-BR"/>
        </w:rPr>
        <w:t xml:space="preserve">Gênesis 11:1 menciona</w:t>
      </w:r>
      <w:r>
        <w:rPr>
          <w:lang w:val="pt-BR" w:eastAsia="pt-BR"/>
        </w:rPr>
        <w:t xml:space="preserve"> </w:t>
      </w:r>
      <w:r>
        <w:rPr>
          <w:lang w:val="pt-BR" w:eastAsia="pt-BR"/>
        </w:rPr>
        <w:t xml:space="preserve">“</w:t>
      </w:r>
      <w:r>
        <w:rPr>
          <w:lang w:val="pt-BR" w:eastAsia="pt-BR"/>
        </w:rPr>
        <w:t xml:space="preserve">uma só língua</w:t>
      </w:r>
      <w:r>
        <w:rPr>
          <w:lang w:val="pt-BR" w:eastAsia="pt-BR"/>
        </w:rPr>
        <w:t xml:space="preserve">”</w:t>
      </w:r>
      <w:r>
        <w:rPr>
          <w:lang w:val="pt-BR" w:eastAsia="pt-BR"/>
        </w:rPr>
        <w:t xml:space="preserve"> </w:t>
      </w:r>
      <w:r>
        <w:rPr>
          <w:lang w:val="pt-BR" w:eastAsia="pt-BR"/>
        </w:rPr>
        <w:t xml:space="preserve">ou, literalmente,</w:t>
      </w:r>
      <w:r>
        <w:rPr>
          <w:lang w:val="pt-BR" w:eastAsia="pt-BR"/>
        </w:rPr>
        <w:t xml:space="preserve"> </w:t>
      </w:r>
      <w:r>
        <w:rPr>
          <w:lang w:val="pt-BR" w:eastAsia="pt-BR"/>
        </w:rPr>
        <w:t xml:space="preserve">“</w:t>
      </w:r>
      <w:r>
        <w:rPr>
          <w:lang w:val="pt-BR" w:eastAsia="pt-BR"/>
        </w:rPr>
        <w:t xml:space="preserve">um só lábio</w:t>
      </w:r>
      <w:r>
        <w:rPr>
          <w:lang w:val="pt-BR" w:eastAsia="pt-BR"/>
        </w:rPr>
        <w:t xml:space="preserve">”</w:t>
      </w:r>
      <w:r>
        <w:rPr>
          <w:lang w:val="pt-BR" w:eastAsia="pt-BR"/>
        </w:rPr>
        <w:t xml:space="preserve">, mas não a chama de hebraico. Gênesis 2 contém jogos de palavras hebraicos —</w:t>
      </w:r>
      <w:r>
        <w:rPr>
          <w:lang w:val="pt-BR" w:eastAsia="pt-BR"/>
        </w:rPr>
        <w:t xml:space="preserve"> </w:t>
      </w:r>
      <w:r>
        <w:rPr>
          <w:iCs/>
          <w:i/>
          <w:lang w:val="pt-BR" w:eastAsia="pt-BR"/>
        </w:rPr>
        <w:t xml:space="preserve">ʾādām/ʾădāmâ</w:t>
      </w:r>
      <w:r>
        <w:rPr>
          <w:lang w:val="pt-BR" w:eastAsia="pt-BR"/>
        </w:rPr>
        <w:t xml:space="preserve">,</w:t>
      </w:r>
      <w:r>
        <w:rPr>
          <w:lang w:val="pt-BR" w:eastAsia="pt-BR"/>
        </w:rPr>
        <w:t xml:space="preserve"> </w:t>
      </w:r>
      <w:r>
        <w:rPr>
          <w:iCs/>
          <w:i/>
          <w:lang w:val="pt-BR" w:eastAsia="pt-BR"/>
        </w:rPr>
        <w:t xml:space="preserve">ʾîš/ʾiššâ</w:t>
      </w:r>
      <w:r>
        <w:rPr>
          <w:lang w:val="pt-BR" w:eastAsia="pt-BR"/>
        </w:rPr>
        <w:t xml:space="preserve">,</w:t>
      </w:r>
      <w:r>
        <w:rPr>
          <w:lang w:val="pt-BR" w:eastAsia="pt-BR"/>
        </w:rPr>
        <w:t xml:space="preserve"> </w:t>
      </w:r>
      <w:r>
        <w:rPr>
          <w:iCs/>
          <w:i/>
          <w:lang w:val="pt-BR" w:eastAsia="pt-BR"/>
        </w:rPr>
        <w:t xml:space="preserve">Ḥawwâ/ḥāyâ</w:t>
      </w:r>
      <w:r>
        <w:rPr>
          <w:lang w:val="pt-BR" w:eastAsia="pt-BR"/>
        </w:rPr>
        <w:t xml:space="preserve"> </w:t>
      </w:r>
      <w:r>
        <w:rPr>
          <w:lang w:val="pt-BR" w:eastAsia="pt-BR"/>
        </w:rPr>
        <w:t xml:space="preserve">— que demonstram a arte literária do texto hebraico recebido. Eles não demonstram, sem premissas adicionais, qual idioma personagens primevos teriam falado. Gênesis 10 já distribui povos</w:t>
      </w:r>
      <w:r>
        <w:rPr>
          <w:lang w:val="pt-BR" w:eastAsia="pt-BR"/>
        </w:rPr>
        <w:t xml:space="preserve"> </w:t>
      </w:r>
      <w:r>
        <w:rPr>
          <w:lang w:val="pt-BR" w:eastAsia="pt-BR"/>
        </w:rPr>
        <w:t xml:space="preserve">“</w:t>
      </w:r>
      <w:r>
        <w:rPr>
          <w:lang w:val="pt-BR" w:eastAsia="pt-BR"/>
        </w:rPr>
        <w:t xml:space="preserve">segundo suas línguas</w:t>
      </w:r>
      <w:r>
        <w:rPr>
          <w:lang w:val="pt-BR" w:eastAsia="pt-BR"/>
        </w:rPr>
        <w:t xml:space="preserve">”</w:t>
      </w:r>
      <w:r>
        <w:rPr>
          <w:lang w:val="pt-BR" w:eastAsia="pt-BR"/>
        </w:rPr>
        <w:t xml:space="preserve">, criando uma relação literária complexa com Gênesis 11; a análise histórico-crítica explica essa relação por tradições e camadas composicionais, embora harmonizações teológicas continuem possíveis.</w:t>
      </w:r>
    </w:p>
    <w:p>
      <w:pPr>
        <w:pStyle w:val="BodyText"/>
      </w:pPr>
      <w:r>
        <w:rPr>
          <w:lang w:val="pt-BR" w:eastAsia="pt-BR"/>
        </w:rPr>
        <w:t xml:space="preserve">A ideia de uma língua adâmica hebraica possui história intelectual importante. Há tradições rabínicas que favorecem a</w:t>
      </w:r>
      <w:r>
        <w:rPr>
          <w:lang w:val="pt-BR" w:eastAsia="pt-BR"/>
        </w:rPr>
        <w:t xml:space="preserve"> </w:t>
      </w:r>
      <w:r>
        <w:rPr>
          <w:lang w:val="pt-BR" w:eastAsia="pt-BR"/>
        </w:rPr>
        <w:t xml:space="preserve">“</w:t>
      </w:r>
      <w:r>
        <w:rPr>
          <w:lang w:val="pt-BR" w:eastAsia="pt-BR"/>
        </w:rPr>
        <w:t xml:space="preserve">língua santa</w:t>
      </w:r>
      <w:r>
        <w:rPr>
          <w:lang w:val="pt-BR" w:eastAsia="pt-BR"/>
        </w:rPr>
        <w:t xml:space="preserve">”</w:t>
      </w:r>
      <w:r>
        <w:rPr>
          <w:lang w:val="pt-BR" w:eastAsia="pt-BR"/>
        </w:rPr>
        <w:t xml:space="preserve">, mas também uma tradição talmúdica segundo a qual Adão falava aramaico. Agostinho defendeu explicitamente que a língua original, preservada na linhagem de Héber, veio a chamar-se hebraica. A hipótese dominou partes da erudição cristã medieval e moderna inicial, mas perdeu o estatuto de conclusão filológica quando o método comparativo passou a exigir correspondências regulares e reconstruções controladas.</w:t>
      </w:r>
    </w:p>
    <w:bookmarkEnd w:id="21"/>
    <w:bookmarkStart w:id="22" w:name="matriz-das-sete-proposições"/>
    <w:p>
      <w:pPr>
        <w:pStyle w:val="Heading2"/>
      </w:pPr>
      <w:r>
        <w:rPr>
          <w:lang w:val="pt-BR" w:eastAsia="pt-BR"/>
        </w:rPr>
        <w:t xml:space="preserve">Matriz das sete proposições</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Proposição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Tipo de afirmação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Resultado do teste</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Confiança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1. O hebraico foi a primeira língua humana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Histórico-científica, mas sem registro direto possível</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Não sustentada; a primeira língua não pode ser identificada e a história recuperável do hebraico é tardia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alta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2. Adão e Eva falaram hebraico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Teológica e, se tomada literalmente, histórica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Não há evidência linguística independente; personagens não são linguisticamente acessíveis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Alta quanto à ausência de demonstração; a afirmação metafísica é não testável</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3. A língua pré-Babel era hebraico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Exegética e histórica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Gênesis não nomeia o idioma; a identificação é tradição interpretativa posterior</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alta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4. Todas as línguas descendem do hebraico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Hipótese filogenética testável</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Incompatível com árvores independentes, correspondências regulares e cronologia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Muito alta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5. O hebraico é a língua histórica mais antiga conhecida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Histórico-documental</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Falso no sentido documentável: sumério, egípcio, acadiano e outras são atestadas antes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alta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6. O hebraico é a língua escrita mais antiga conhecida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Epigráfica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Falso: escrita mesopotâmica e egípcia antecede os registros hebraicos em cerca de dois milênios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Muito alta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7. O hebraico preserva traços primordiais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Comparativa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Preserva arcaísmos semíticos, como toda língua filha, mas também inovações; “arcaico” não significa “primeiro humano”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alta</w:t>
            </w:r>
          </w:p>
        </w:tc>
      </w:tr>
    </w:tbl>
    <w:bookmarkEnd w:id="22"/>
    <w:bookmarkStart w:id="23" w:name="veredito-executivo"/>
    <w:p>
      <w:pPr>
        <w:pStyle w:val="Heading2"/>
      </w:pPr>
      <w:r>
        <w:rPr>
          <w:lang w:val="pt-BR" w:eastAsia="pt-BR"/>
        </w:rPr>
        <w:t xml:space="preserve">Veredito executivo</w:t>
      </w:r>
    </w:p>
    <w:p>
      <w:pPr>
        <w:pStyle w:val="FirstParagraph"/>
      </w:pPr>
      <w:r>
        <w:rPr>
          <w:bCs/>
          <w:b/>
          <w:lang w:val="pt-BR" w:eastAsia="pt-BR"/>
        </w:rPr>
        <w:t xml:space="preserve">Veredito acadêmico:</w:t>
      </w:r>
      <w:r>
        <w:rPr>
          <w:lang w:val="pt-BR" w:eastAsia="pt-BR"/>
        </w:rPr>
        <w:t xml:space="preserve"> </w:t>
      </w:r>
      <w:r>
        <w:rPr>
          <w:lang w:val="pt-BR" w:eastAsia="pt-BR"/>
        </w:rPr>
        <w:t xml:space="preserve">o hebraico não é demonstravelmente a língua original da humanidade e os dados positivos da linguística histórica são incompatíveis com ele como ancestral das demais línguas semíticas, afro-asiáticas ou mundiais. A explicação mais bem sustentada é que o hebraico emergiu dentro do contínuo cananeu no Levante meridional, tornando-se claramente identificável em documentação da Idade do Ferro. A tradição da língua adâmica pertence à história da interpretação religiosa; ela não é uma conclusão do método comparativo.</w:t>
      </w:r>
    </w:p>
    <w:bookmarkEnd w:id="23"/>
    <w:bookmarkEnd w:id="24"/>
    <w:bookmarkStart w:id="32" w:name="definição-da-hipótese"/>
    <w:p>
      <w:bookmarkStart w:id="502" w:name="sec_003"/>
      <w:pPr>
        <w:pStyle w:val="Heading1"/>
        <w:pBdr>
          <w:bottom w:val="single" w:sz="12" w:space="6" w:color="C4942F"/>
        </w:pBdr>
      </w:pPr>
      <w:r>
        <w:rPr>
          <w:lang w:val="pt-BR" w:eastAsia="pt-BR"/>
        </w:rPr>
        <w:t xml:space="preserve">1. Definição da hipótese</w:t>
      </w:r>
      <w:bookmarkEnd w:id="502"/>
    </w:p>
    <w:p>
      <w:pPr>
        <w:pStyle w:val="FirstParagraph"/>
      </w:pPr>
      <w:r>
        <w:rPr>
          <w:lang w:val="pt-BR" w:eastAsia="pt-BR"/>
        </w:rPr>
        <w:t xml:space="preserve">As sete proposições não são equivalentes. Uma língua pode ser muito antiga sem ser ancestral de todas as outras; pode ser a língua de um texto sagrado sem ter sido a língua histórica dos personagens; pode conservar formas arcaicas sem ser a proto-língua; e pode utilizar uma escrita antiga sem ser a língua para a qual essa escrita foi originalmente criada.</w:t>
      </w:r>
    </w:p>
    <w:bookmarkStart w:id="25" w:name="primeira-língua-humana"/>
    <w:p>
      <w:pPr>
        <w:pStyle w:val="Heading2"/>
      </w:pPr>
      <w:r>
        <w:rPr>
          <w:lang w:val="pt-BR" w:eastAsia="pt-BR"/>
        </w:rPr>
        <w:t xml:space="preserve">1.1 Primeira língua humana</w:t>
      </w:r>
    </w:p>
    <w:p>
      <w:pPr>
        <w:pStyle w:val="FirstParagraph"/>
      </w:pPr>
      <w:r>
        <w:rPr>
          <w:lang w:val="pt-BR" w:eastAsia="pt-BR"/>
        </w:rPr>
        <w:t xml:space="preserve">Esta proposição afirma prioridade absoluta no tempo. Para testá-la seria necessário conectar o hebraico histórico — conhecido por inscrições e manuscritos — a um estágio situado dezenas ou centenas de milhares de anos antes da escrita. O método comparativo não alcança essa profundidade com segurança. A hipótese, na forma absoluta, excede a resolução dos dados; na forma</w:t>
      </w:r>
      <w:r>
        <w:rPr>
          <w:lang w:val="pt-BR" w:eastAsia="pt-BR"/>
        </w:rPr>
        <w:t xml:space="preserve"> </w:t>
      </w:r>
      <w:r>
        <w:rPr>
          <w:lang w:val="pt-BR" w:eastAsia="pt-BR"/>
        </w:rPr>
        <w:t xml:space="preserve">“</w:t>
      </w:r>
      <w:r>
        <w:rPr>
          <w:lang w:val="pt-BR" w:eastAsia="pt-BR"/>
        </w:rPr>
        <w:t xml:space="preserve">o hebraico histórico já existia no início da linguagem</w:t>
      </w:r>
      <w:r>
        <w:rPr>
          <w:lang w:val="pt-BR" w:eastAsia="pt-BR"/>
        </w:rPr>
        <w:t xml:space="preserve">”</w:t>
      </w:r>
      <w:r>
        <w:rPr>
          <w:lang w:val="pt-BR" w:eastAsia="pt-BR"/>
        </w:rPr>
        <w:t xml:space="preserve">, entra em conflito com a genealogia semítica recuperável.</w:t>
      </w:r>
    </w:p>
    <w:bookmarkEnd w:id="25"/>
    <w:bookmarkStart w:id="26" w:name="língua-de-adão-e-eva"/>
    <w:p>
      <w:pPr>
        <w:pStyle w:val="Heading2"/>
      </w:pPr>
      <w:r>
        <w:rPr>
          <w:lang w:val="pt-BR" w:eastAsia="pt-BR"/>
        </w:rPr>
        <w:t xml:space="preserve">1.2 Língua de Adão e Eva</w:t>
      </w:r>
    </w:p>
    <w:p>
      <w:pPr>
        <w:pStyle w:val="FirstParagraph"/>
      </w:pPr>
      <w:r>
        <w:rPr>
          <w:lang w:val="pt-BR" w:eastAsia="pt-BR"/>
        </w:rPr>
        <w:t xml:space="preserve">Esta é uma afirmação teológica quando</w:t>
      </w:r>
      <w:r>
        <w:rPr>
          <w:lang w:val="pt-BR" w:eastAsia="pt-BR"/>
        </w:rPr>
        <w:t xml:space="preserve"> </w:t>
      </w:r>
      <w:r>
        <w:rPr>
          <w:lang w:val="pt-BR" w:eastAsia="pt-BR"/>
        </w:rPr>
        <w:t xml:space="preserve">“</w:t>
      </w:r>
      <w:r>
        <w:rPr>
          <w:lang w:val="pt-BR" w:eastAsia="pt-BR"/>
        </w:rPr>
        <w:t xml:space="preserve">Adão</w:t>
      </w:r>
      <w:r>
        <w:rPr>
          <w:lang w:val="pt-BR" w:eastAsia="pt-BR"/>
        </w:rPr>
        <w:t xml:space="preserve">”</w:t>
      </w:r>
      <w:r>
        <w:rPr>
          <w:lang w:val="pt-BR" w:eastAsia="pt-BR"/>
        </w:rPr>
        <w:t xml:space="preserve"> </w:t>
      </w:r>
      <w:r>
        <w:rPr>
          <w:lang w:val="pt-BR" w:eastAsia="pt-BR"/>
        </w:rPr>
        <w:t xml:space="preserve">designa uma figura primordial fora do alcance da documentação. Torna-se histórica apenas se forem fornecidos critérios independentes para situar as personagens, datar sua existência e recuperar sua fala. Jogos de palavras no narrador hebraico não constituem, por si, esse elo independente.</w:t>
      </w:r>
    </w:p>
    <w:bookmarkEnd w:id="26"/>
    <w:bookmarkStart w:id="27" w:name="língua-única-anterior-a-babel"/>
    <w:p>
      <w:pPr>
        <w:pStyle w:val="Heading2"/>
      </w:pPr>
      <w:r>
        <w:rPr>
          <w:lang w:val="pt-BR" w:eastAsia="pt-BR"/>
        </w:rPr>
        <w:t xml:space="preserve">1.3 Língua única anterior a Babel</w:t>
      </w:r>
    </w:p>
    <w:p>
      <w:pPr>
        <w:pStyle w:val="FirstParagraph"/>
      </w:pPr>
      <w:r>
        <w:rPr>
          <w:lang w:val="pt-BR" w:eastAsia="pt-BR"/>
        </w:rPr>
        <w:t xml:space="preserve">Gênesis 11 afirma unidade linguística no mundo narrativo, mas não nomeia a língua.</w:t>
      </w:r>
      <w:r>
        <w:rPr>
          <w:lang w:val="pt-BR" w:eastAsia="pt-BR"/>
        </w:rPr>
        <w:t xml:space="preserve"> </w:t>
      </w:r>
      <w:r>
        <w:rPr>
          <w:lang w:val="pt-BR" w:eastAsia="pt-BR"/>
        </w:rPr>
        <w:t xml:space="preserve">“</w:t>
      </w:r>
      <w:r>
        <w:rPr>
          <w:lang w:val="pt-BR" w:eastAsia="pt-BR"/>
        </w:rPr>
        <w:t xml:space="preserve">Era hebraico</w:t>
      </w:r>
      <w:r>
        <w:rPr>
          <w:lang w:val="pt-BR" w:eastAsia="pt-BR"/>
        </w:rPr>
        <w:t xml:space="preserve">”</w:t>
      </w:r>
      <w:r>
        <w:rPr>
          <w:lang w:val="pt-BR" w:eastAsia="pt-BR"/>
        </w:rPr>
        <w:t xml:space="preserve"> </w:t>
      </w:r>
      <w:r>
        <w:rPr>
          <w:lang w:val="pt-BR" w:eastAsia="pt-BR"/>
        </w:rPr>
        <w:t xml:space="preserve">é uma inferência tradicional, não uma frase do texto. Mesmo que alguém aceite teologicamente uma língua pré-Babel, ainda precisa demonstrar por que ela seria idêntica ao hebraico da Idade do Ferro.</w:t>
      </w:r>
    </w:p>
    <w:bookmarkEnd w:id="27"/>
    <w:bookmarkStart w:id="28" w:name="matriz-de-todas-as-línguas-atuais"/>
    <w:p>
      <w:pPr>
        <w:pStyle w:val="Heading2"/>
      </w:pPr>
      <w:r>
        <w:rPr>
          <w:lang w:val="pt-BR" w:eastAsia="pt-BR"/>
        </w:rPr>
        <w:t xml:space="preserve">1.4 Matriz de todas as línguas atuais</w:t>
      </w:r>
    </w:p>
    <w:p>
      <w:pPr>
        <w:pStyle w:val="FirstParagraph"/>
      </w:pPr>
      <w:r>
        <w:rPr>
          <w:lang w:val="pt-BR" w:eastAsia="pt-BR"/>
        </w:rPr>
        <w:t xml:space="preserve">Esta é a afirmação mais claramente falsificável. Ela prevê que famílias como indo-europeia, sino-tibetana, austronésia, nígero-congolesa e dravídica possam ser derivadas do hebraico por séries regulares de mudanças, com vocabulário básico, morfologia e estágios intermediários explicáveis. As previsões não se confirmam.</w:t>
      </w:r>
    </w:p>
    <w:bookmarkEnd w:id="28"/>
    <w:bookmarkStart w:id="29" w:name="língua-histórica-mais-antiga-conhecida"/>
    <w:p>
      <w:pPr>
        <w:pStyle w:val="Heading2"/>
      </w:pPr>
      <w:r>
        <w:rPr>
          <w:lang w:val="pt-BR" w:eastAsia="pt-BR"/>
        </w:rPr>
        <w:t xml:space="preserve">1.5 Língua histórica mais antiga conhecida</w:t>
      </w:r>
    </w:p>
    <w:p>
      <w:pPr>
        <w:pStyle w:val="FirstParagraph"/>
      </w:pPr>
      <w:r>
        <w:rPr>
          <w:lang w:val="pt-BR" w:eastAsia="pt-BR"/>
        </w:rPr>
        <w:t xml:space="preserve">“</w:t>
      </w:r>
      <w:r>
        <w:rPr>
          <w:lang w:val="pt-BR" w:eastAsia="pt-BR"/>
        </w:rPr>
        <w:t xml:space="preserve">Mais antiga</w:t>
      </w:r>
      <w:r>
        <w:rPr>
          <w:lang w:val="pt-BR" w:eastAsia="pt-BR"/>
        </w:rPr>
        <w:t xml:space="preserve">”</w:t>
      </w:r>
      <w:r>
        <w:rPr>
          <w:lang w:val="pt-BR" w:eastAsia="pt-BR"/>
        </w:rPr>
        <w:t xml:space="preserve"> </w:t>
      </w:r>
      <w:r>
        <w:rPr>
          <w:lang w:val="pt-BR" w:eastAsia="pt-BR"/>
        </w:rPr>
        <w:t xml:space="preserve">pode significar: primeiro registro escrito; maior continuidade de uso; texto literário mais antigo; ou estágio reconstruído mais profundo. Esses critérios produzem respostas diferentes. No critério verificável de primeiro registro, o hebraico não é o mais antigo.</w:t>
      </w:r>
    </w:p>
    <w:bookmarkEnd w:id="29"/>
    <w:bookmarkStart w:id="30" w:name="língua-escrita-mais-antiga"/>
    <w:p>
      <w:pPr>
        <w:pStyle w:val="Heading2"/>
      </w:pPr>
      <w:r>
        <w:rPr>
          <w:lang w:val="pt-BR" w:eastAsia="pt-BR"/>
        </w:rPr>
        <w:t xml:space="preserve">1.6 Língua escrita mais antiga</w:t>
      </w:r>
    </w:p>
    <w:p>
      <w:pPr>
        <w:pStyle w:val="FirstParagraph"/>
      </w:pPr>
      <w:r>
        <w:rPr>
          <w:lang w:val="pt-BR" w:eastAsia="pt-BR"/>
        </w:rPr>
        <w:t xml:space="preserve">Língua e escrita devem ser separadas. O alfabeto paleo-hebraico é uma variante regional da tradição alfabética linear do Levante, descendente de alfabetos anteriores. A adoção de um sistema gráfico não torna a língua que o emprega ancestral das línguas escritas com sistemas aparentados.</w:t>
      </w:r>
    </w:p>
    <w:bookmarkEnd w:id="30"/>
    <w:bookmarkStart w:id="31" w:name="preservação-de-uma-língua-primordial"/>
    <w:p>
      <w:pPr>
        <w:pStyle w:val="Heading2"/>
      </w:pPr>
      <w:r>
        <w:rPr>
          <w:lang w:val="pt-BR" w:eastAsia="pt-BR"/>
        </w:rPr>
        <w:t xml:space="preserve">1.7 Preservação de uma língua primordial</w:t>
      </w:r>
    </w:p>
    <w:p>
      <w:pPr>
        <w:pStyle w:val="FirstParagraph"/>
      </w:pPr>
      <w:r>
        <w:rPr>
          <w:lang w:val="pt-BR" w:eastAsia="pt-BR"/>
        </w:rPr>
        <w:t xml:space="preserve">O hebraico conserva traços arcaicos semíticos, mas também acadiano, árabe, ugarítico, geʿez e línguas sul-arábicas modernas conservam traços que o hebraico perdeu. Uma língua pode ser conservadora em um subsistema e inovadora em outro.</w:t>
      </w:r>
      <w:r>
        <w:rPr>
          <w:lang w:val="pt-BR" w:eastAsia="pt-BR"/>
        </w:rPr>
        <w:t xml:space="preserve"> </w:t>
      </w:r>
      <w:r>
        <w:rPr>
          <w:lang w:val="pt-BR" w:eastAsia="pt-BR"/>
        </w:rPr>
        <w:t xml:space="preserve">“</w:t>
      </w:r>
      <w:r>
        <w:rPr>
          <w:lang w:val="pt-BR" w:eastAsia="pt-BR"/>
        </w:rPr>
        <w:t xml:space="preserve">Preservar um arcaísmo</w:t>
      </w:r>
      <w:r>
        <w:rPr>
          <w:lang w:val="pt-BR" w:eastAsia="pt-BR"/>
        </w:rPr>
        <w:t xml:space="preserve">”</w:t>
      </w:r>
      <w:r>
        <w:rPr>
          <w:lang w:val="pt-BR" w:eastAsia="pt-BR"/>
        </w:rPr>
        <w:t xml:space="preserve"> </w:t>
      </w:r>
      <w:r>
        <w:rPr>
          <w:lang w:val="pt-BR" w:eastAsia="pt-BR"/>
        </w:rPr>
        <w:t xml:space="preserve">não equivale a</w:t>
      </w:r>
      <w:r>
        <w:rPr>
          <w:lang w:val="pt-BR" w:eastAsia="pt-BR"/>
        </w:rPr>
        <w:t xml:space="preserve"> </w:t>
      </w:r>
      <w:r>
        <w:rPr>
          <w:lang w:val="pt-BR" w:eastAsia="pt-BR"/>
        </w:rPr>
        <w:t xml:space="preserve">“</w:t>
      </w:r>
      <w:r>
        <w:rPr>
          <w:lang w:val="pt-BR" w:eastAsia="pt-BR"/>
        </w:rPr>
        <w:t xml:space="preserve">ser o ancestral</w:t>
      </w:r>
      <w:r>
        <w:rPr>
          <w:lang w:val="pt-BR" w:eastAsia="pt-BR"/>
        </w:rPr>
        <w:t xml:space="preserve">”</w:t>
      </w:r>
      <w:r>
        <w:rPr>
          <w:lang w:val="pt-BR" w:eastAsia="pt-BR"/>
        </w:rPr>
        <w:t xml:space="preserve">.</w:t>
      </w:r>
    </w:p>
    <w:bookmarkEnd w:id="31"/>
    <w:bookmarkEnd w:id="32"/>
    <w:bookmarkStart w:id="38" w:name="metodologia"/>
    <w:p>
      <w:bookmarkStart w:id="503" w:name="sec_004"/>
      <w:pPr>
        <w:pStyle w:val="Heading1"/>
        <w:pBdr>
          <w:bottom w:val="single" w:sz="12" w:space="6" w:color="C4942F"/>
        </w:pBdr>
      </w:pPr>
      <w:r>
        <w:rPr>
          <w:lang w:val="pt-BR" w:eastAsia="pt-BR"/>
        </w:rPr>
        <w:t xml:space="preserve">2. Metodologia</w:t>
      </w:r>
      <w:bookmarkEnd w:id="503"/>
    </w:p>
    <w:bookmarkStart w:id="33" w:name="como-se-demonstra-parentesco-linguístico"/>
    <w:p>
      <w:pPr>
        <w:pStyle w:val="Heading2"/>
      </w:pPr>
      <w:r>
        <w:rPr>
          <w:lang w:val="pt-BR" w:eastAsia="pt-BR"/>
        </w:rPr>
        <w:t xml:space="preserve">2.1 Como se demonstra parentesco linguístico</w:t>
      </w:r>
    </w:p>
    <w:p>
      <w:pPr>
        <w:pStyle w:val="FirstParagraph"/>
      </w:pPr>
      <w:r>
        <w:rPr>
          <w:lang w:val="pt-BR" w:eastAsia="pt-BR"/>
        </w:rPr>
        <w:t xml:space="preserve">O método comparativo reúne formas de línguas cuja relação é suspeitada, estabelece correspondências sonoras recorrentes e reconstrói o sistema mais econômico capaz de gerar os reflexos observados. A unidade de prova não é uma palavra isolada, mas uma série de correspondências em vocabulário básico e morfemas gramaticais, sob condições fonológicas repetíveis. Reconstruções são hipóteses inferenciais marcadas por asterisco — por exemplo, Proto-Semítico *bayt-</w:t>
      </w:r>
      <w:r>
        <w:rPr>
          <w:lang w:val="pt-BR" w:eastAsia="pt-BR"/>
        </w:rPr>
        <w:t xml:space="preserve"> </w:t>
      </w:r>
      <w:r>
        <w:rPr>
          <w:lang w:val="pt-BR" w:eastAsia="pt-BR"/>
        </w:rPr>
        <w:t xml:space="preserve">“</w:t>
      </w:r>
      <w:r>
        <w:rPr>
          <w:lang w:val="pt-BR" w:eastAsia="pt-BR"/>
        </w:rPr>
        <w:t xml:space="preserve">casa</w:t>
      </w:r>
      <w:r>
        <w:rPr>
          <w:lang w:val="pt-BR" w:eastAsia="pt-BR"/>
        </w:rPr>
        <w:t xml:space="preserve">”</w:t>
      </w:r>
      <w:r>
        <w:rPr>
          <w:lang w:val="pt-BR" w:eastAsia="pt-BR"/>
        </w:rPr>
        <w:t xml:space="preserve"> </w:t>
      </w:r>
      <w:r>
        <w:rPr>
          <w:lang w:val="pt-BR" w:eastAsia="pt-BR"/>
        </w:rPr>
        <w:t xml:space="preserve">— e não transcrições de gravações antigas (Rankin 2003; Campbell 2013; Munteanu 2022).</w:t>
      </w:r>
    </w:p>
    <w:p>
      <w:pPr>
        <w:pStyle w:val="BodyText"/>
      </w:pPr>
      <w:r>
        <w:rPr>
          <w:lang w:val="pt-BR" w:eastAsia="pt-BR"/>
        </w:rPr>
        <w:t xml:space="preserve">Uma relação convincente deve explicar simultaneamente:</w:t>
      </w:r>
    </w:p>
    <w:p>
      <w:pPr>
        <w:numPr>
          <w:ilvl w:val="0"/>
          <w:numId w:val="1001"/>
        </w:numPr>
        <w:pStyle w:val="Compact"/>
      </w:pPr>
      <w:r>
        <w:rPr>
          <w:lang w:val="pt-BR" w:eastAsia="pt-BR"/>
        </w:rPr>
        <w:t xml:space="preserve">sons: por que um fonema ancestral produz resultados regulares em cada ramo;</w:t>
      </w:r>
    </w:p>
    <w:p>
      <w:pPr>
        <w:numPr>
          <w:ilvl w:val="0"/>
          <w:numId w:val="1001"/>
        </w:numPr>
        <w:pStyle w:val="Compact"/>
      </w:pPr>
      <w:r>
        <w:rPr>
          <w:lang w:val="pt-BR" w:eastAsia="pt-BR"/>
        </w:rPr>
        <w:t xml:space="preserve">morfologia: pronomes, flexões nominais e verbais, plural, gênero, caso e concordância;</w:t>
      </w:r>
    </w:p>
    <w:p>
      <w:pPr>
        <w:numPr>
          <w:ilvl w:val="0"/>
          <w:numId w:val="1001"/>
        </w:numPr>
        <w:pStyle w:val="Compact"/>
      </w:pPr>
      <w:r>
        <w:rPr>
          <w:lang w:val="pt-BR" w:eastAsia="pt-BR"/>
        </w:rPr>
        <w:t xml:space="preserve">léxico básico: partes do corpo, parentesco, números, ações elementares e elementos naturais;</w:t>
      </w:r>
    </w:p>
    <w:p>
      <w:pPr>
        <w:numPr>
          <w:ilvl w:val="0"/>
          <w:numId w:val="1001"/>
        </w:numPr>
        <w:pStyle w:val="Compact"/>
      </w:pPr>
      <w:r>
        <w:rPr>
          <w:lang w:val="pt-BR" w:eastAsia="pt-BR"/>
        </w:rPr>
        <w:t xml:space="preserve">distribuição: onde e quando as variedades são atestadas;</w:t>
      </w:r>
    </w:p>
    <w:p>
      <w:pPr>
        <w:numPr>
          <w:ilvl w:val="0"/>
          <w:numId w:val="1001"/>
        </w:numPr>
        <w:pStyle w:val="Compact"/>
      </w:pPr>
      <w:r>
        <w:rPr>
          <w:lang w:val="pt-BR" w:eastAsia="pt-BR"/>
        </w:rPr>
        <w:t xml:space="preserve">inovações compartilhadas: mudanças improváveis ocorridas apenas num subgrupo;</w:t>
      </w:r>
    </w:p>
    <w:p>
      <w:pPr>
        <w:numPr>
          <w:ilvl w:val="0"/>
          <w:numId w:val="1001"/>
        </w:numPr>
        <w:pStyle w:val="Compact"/>
      </w:pPr>
      <w:r>
        <w:rPr>
          <w:lang w:val="pt-BR" w:eastAsia="pt-BR"/>
        </w:rPr>
        <w:t xml:space="preserve">exceções: empréstimos, analogia, tabu, onomatopeia e falhas documentais.</w:t>
      </w:r>
    </w:p>
    <w:bookmarkEnd w:id="33"/>
    <w:bookmarkStart w:id="34" w:name="vocabulário-técnico-indispensável"/>
    <w:p>
      <w:pPr>
        <w:pStyle w:val="Heading2"/>
      </w:pPr>
      <w:r>
        <w:rPr>
          <w:lang w:val="pt-BR" w:eastAsia="pt-BR"/>
        </w:rPr>
        <w:t xml:space="preserve">2.2 Vocabulário técnico indispensável</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Termo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Definição operacional</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O que não demonstra sozinho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Semelhança acidental</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Parecido limitado sem padrão recorrente; inevitável entre milhares de formas curtas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Parentesco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Empréstimo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Forma transferida por contato, frequentemente com objeto, tecnologia, religião ou prestígio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Ancestralidade comum de toda a gramática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Cognatos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Formas herdadas de um ancestral comum, demonstradas por correspondências regulares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Identidade sonora perfeita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Correspondência fonológica regular</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Relação recorrente entre sons em posições comparáveis, por exemplo PS *θ &gt; hebraico š, mas árabe θ</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Que toda exceção seja impossível</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Ancestralidade linguística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Transmissão intergeracional de um sistema, com mudanças acumuladas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Que povos ou genes sejam idênticos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Contato linguístico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Influência entre comunidades bilíngues: empréstimo, convergência estrutural, calque</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Filiação genealógica necessária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Sprachbund</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Área em que línguas, inclusive não aparentadas, convergem por contato prolongado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Origem em uma única língua recente</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Língua documentada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Língua acessível por inscrições, manuscritos ou gravações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Momento em que começou a ser falada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Língua reconstruída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Modelo inferido a partir de descendentes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Texto realmente preservado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Proto-língua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Ancestral comum reconstruído de um conjunto de línguas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“Primeira língua humana”</w:t>
            </w:r>
          </w:p>
        </w:tc>
      </w:tr>
    </w:tbl>
    <w:bookmarkEnd w:id="34"/>
    <w:bookmarkStart w:id="35" w:name="controles-contra-falsa-etimologia"/>
    <w:p>
      <w:pPr>
        <w:pStyle w:val="Heading2"/>
      </w:pPr>
      <w:r>
        <w:rPr>
          <w:lang w:val="pt-BR" w:eastAsia="pt-BR"/>
        </w:rPr>
        <w:t xml:space="preserve">2.3 Controles contra falsa etimologia</w:t>
      </w:r>
    </w:p>
    <w:p>
      <w:pPr>
        <w:pStyle w:val="FirstParagraph"/>
      </w:pPr>
      <w:r>
        <w:rPr>
          <w:lang w:val="pt-BR" w:eastAsia="pt-BR"/>
        </w:rPr>
        <w:t xml:space="preserve">Palavras curtas e significados vagos geram muitas semelhanças por acaso. Para testar uma proposta</w:t>
      </w:r>
      <w:r>
        <w:rPr>
          <w:lang w:val="pt-BR" w:eastAsia="pt-BR"/>
        </w:rPr>
        <w:t xml:space="preserve"> </w:t>
      </w:r>
      <w:r>
        <w:rPr>
          <w:lang w:val="pt-BR" w:eastAsia="pt-BR"/>
        </w:rPr>
        <w:t xml:space="preserve">“</w:t>
      </w:r>
      <w:r>
        <w:rPr>
          <w:lang w:val="pt-BR" w:eastAsia="pt-BR"/>
        </w:rPr>
        <w:t xml:space="preserve">X deriva do hebraico</w:t>
      </w:r>
      <w:r>
        <w:rPr>
          <w:lang w:val="pt-BR" w:eastAsia="pt-BR"/>
        </w:rPr>
        <w:t xml:space="preserve">”</w:t>
      </w:r>
      <w:r>
        <w:rPr>
          <w:lang w:val="pt-BR" w:eastAsia="pt-BR"/>
        </w:rPr>
        <w:t xml:space="preserve">, foram aplicados cinco controles: (1) forma antiga, não apenas pronúncia moderna; (2) sentido histórico, não associação livre; (3) correspondência em dezenas de conjuntos; (4) morfologia e gramática, não apenas substantivos; (5) rota cronológica e geográfica plausível. Sem esses controles, trocar, omitir ou inverter sons conforme a necessidade torna qualquer língua</w:t>
      </w:r>
      <w:r>
        <w:rPr>
          <w:lang w:val="pt-BR" w:eastAsia="pt-BR"/>
        </w:rPr>
        <w:t xml:space="preserve"> </w:t>
      </w:r>
      <w:r>
        <w:rPr>
          <w:lang w:val="pt-BR" w:eastAsia="pt-BR"/>
        </w:rPr>
        <w:t xml:space="preserve">“</w:t>
      </w:r>
      <w:r>
        <w:rPr>
          <w:lang w:val="pt-BR" w:eastAsia="pt-BR"/>
        </w:rPr>
        <w:t xml:space="preserve">derivável</w:t>
      </w:r>
      <w:r>
        <w:rPr>
          <w:lang w:val="pt-BR" w:eastAsia="pt-BR"/>
        </w:rPr>
        <w:t xml:space="preserve">”</w:t>
      </w:r>
      <w:r>
        <w:rPr>
          <w:lang w:val="pt-BR" w:eastAsia="pt-BR"/>
        </w:rPr>
        <w:t xml:space="preserve"> </w:t>
      </w:r>
      <w:r>
        <w:rPr>
          <w:lang w:val="pt-BR" w:eastAsia="pt-BR"/>
        </w:rPr>
        <w:t xml:space="preserve">de qualquer outra.</w:t>
      </w:r>
    </w:p>
    <w:bookmarkEnd w:id="35"/>
    <w:bookmarkStart w:id="36" w:name="reconstrução-filogenia-e-glotocronologia"/>
    <w:p>
      <w:pPr>
        <w:pStyle w:val="Heading2"/>
      </w:pPr>
      <w:r>
        <w:rPr>
          <w:lang w:val="pt-BR" w:eastAsia="pt-BR"/>
        </w:rPr>
        <w:t xml:space="preserve">2.4 Reconstrução, filogenia e glotocronologia</w:t>
      </w:r>
    </w:p>
    <w:p>
      <w:pPr>
        <w:pStyle w:val="FirstParagraph"/>
      </w:pPr>
      <w:r>
        <w:rPr>
          <w:lang w:val="pt-BR" w:eastAsia="pt-BR"/>
        </w:rPr>
        <w:t xml:space="preserve">Árvores linguísticas representam hipóteses sobre inovações compartilhadas. Elas não negam contato, dialetos em rede ou fronteiras graduais. Para o semítico, alguns nós são robustos — semítico oriental versus os demais, cananeu, aramaico — enquanto a posição precisa do ugarítico, a estrutura do semítico ocidental e a relação entre certos ramos meridionais permanecem debatidas (Rubin 2008; Pat-El e Wilson-Wright 2018; Huehnergard e Pat-El 2019).</w:t>
      </w:r>
    </w:p>
    <w:p>
      <w:pPr>
        <w:pStyle w:val="BodyText"/>
      </w:pPr>
      <w:r>
        <w:rPr>
          <w:lang w:val="pt-BR" w:eastAsia="pt-BR"/>
        </w:rPr>
        <w:t xml:space="preserve">A glotocronologia clássica presume taxas relativamente constantes de substituição lexical. Essa premissa falha com frequência: taxas variam por língua, época, domínio semântico e contato. Métodos bayesianos modernos podem comparar cenários quando possuem dados codificados e calibrações independentes, mas não transformam datas profundas em certezas. Neste dossiê, datas de proto-línguas são intervalos orientadores, não</w:t>
      </w:r>
      <w:r>
        <w:rPr>
          <w:lang w:val="pt-BR" w:eastAsia="pt-BR"/>
        </w:rPr>
        <w:t xml:space="preserve"> </w:t>
      </w:r>
      <w:r>
        <w:rPr>
          <w:lang w:val="pt-BR" w:eastAsia="pt-BR"/>
        </w:rPr>
        <w:t xml:space="preserve">“</w:t>
      </w:r>
      <w:r>
        <w:rPr>
          <w:lang w:val="pt-BR" w:eastAsia="pt-BR"/>
        </w:rPr>
        <w:t xml:space="preserve">anos de nascimento</w:t>
      </w:r>
      <w:r>
        <w:rPr>
          <w:lang w:val="pt-BR" w:eastAsia="pt-BR"/>
        </w:rPr>
        <w:t xml:space="preserve">”</w:t>
      </w:r>
      <w:r>
        <w:rPr>
          <w:lang w:val="pt-BR" w:eastAsia="pt-BR"/>
        </w:rPr>
        <w:t xml:space="preserve"> </w:t>
      </w:r>
      <w:r>
        <w:rPr>
          <w:lang w:val="pt-BR" w:eastAsia="pt-BR"/>
        </w:rPr>
        <w:t xml:space="preserve">(Gray et al. 2011; Heggarty 2014).</w:t>
      </w:r>
    </w:p>
    <w:bookmarkEnd w:id="36"/>
    <w:bookmarkStart w:id="37" w:name="hierarquia-de-evidências"/>
    <w:p>
      <w:pPr>
        <w:pStyle w:val="Heading2"/>
      </w:pPr>
      <w:r>
        <w:rPr>
          <w:lang w:val="pt-BR" w:eastAsia="pt-BR"/>
        </w:rPr>
        <w:t xml:space="preserve">2.5 Hierarquia de evidências</w:t>
      </w:r>
    </w:p>
    <w:p>
      <w:pPr>
        <w:pStyle w:val="FirstParagraph"/>
      </w:pPr>
      <w:r>
        <w:rPr>
          <w:lang w:val="pt-BR" w:eastAsia="pt-BR"/>
        </w:rPr>
        <w:t xml:space="preserve">Foram priorizados estudos revisados por pares, capítulos e monografias de Cambridge, Oxford, Brill, De Gruyter e Routledge; descrições linguísticas de especialistas; corpora epigráficos; e fontes primárias para a história intelectual. Páginas apologéticas foram usadas somente para formular a versão atual dos argumentos populares, jamais como autoridade para datas ou classificações. Quando uma classificação ou data é disputada, o desacordo é explicitado.</w:t>
      </w:r>
    </w:p>
    <w:bookmarkEnd w:id="37"/>
    <w:bookmarkEnd w:id="38"/>
    <w:bookmarkStart w:id="39" w:name="estado-atual-da-pesquisa"/>
    <w:p>
      <w:bookmarkStart w:id="504" w:name="sec_005"/>
      <w:pPr>
        <w:pStyle w:val="Heading1"/>
        <w:pBdr>
          <w:bottom w:val="single" w:sz="12" w:space="6" w:color="C4942F"/>
        </w:pBdr>
      </w:pPr>
      <w:r>
        <w:rPr>
          <w:lang w:val="pt-BR" w:eastAsia="pt-BR"/>
        </w:rPr>
        <w:t xml:space="preserve">3. Estado atual da pesquisa</w:t>
      </w:r>
      <w:bookmarkEnd w:id="504"/>
    </w:p>
    <w:p>
      <w:pPr>
        <w:pStyle w:val="FirstParagraph"/>
      </w:pPr>
      <w:r>
        <w:rPr>
          <w:lang w:val="pt-BR" w:eastAsia="pt-BR"/>
        </w:rPr>
        <w:t xml:space="preserve">Existe consenso muito amplo sobre quatro pontos: (1) hebraico é semítico; (2) dentro do semítico, pertence ao conjunto cananeu do noroeste; (3) as línguas semíticas descendem de um ancestral reconstruído anterior ao hebraico; (4) não há método aceito que derive todas as famílias do mundo do hebraico. O debate acadêmico ocorre nos detalhes da árvore interna, da datação e da localização de proto-línguas, não sobre uma genealogia mundial hebraica.</w:t>
      </w:r>
    </w:p>
    <w:p>
      <w:pPr>
        <w:pStyle w:val="BodyText"/>
      </w:pPr>
      <w:r>
        <w:rPr>
          <w:lang w:val="pt-BR" w:eastAsia="pt-BR"/>
        </w:rPr>
        <w:t xml:space="preserve">Há também consenso de que registros escritos são amostras tardias da história da linguagem. A capacidade linguística humana e as línguas faladas antecedem a escrita por um intervalo enorme. Portanto, a ausência de textos de uma língua não prova que ela não existia; inversamente, a existência de um texto não prova que aquela língua seja a primeira já falada.</w:t>
      </w:r>
    </w:p>
    <w:p>
      <w:pPr>
        <w:pStyle w:val="BodyText"/>
      </w:pPr>
      <w:r>
        <w:rPr>
          <w:lang w:val="pt-BR" w:eastAsia="pt-BR"/>
        </w:rPr>
        <w:t xml:space="preserve">Três zonas de incerteza merecem destaque:</w:t>
      </w:r>
    </w:p>
    <w:p>
      <w:pPr>
        <w:numPr>
          <w:ilvl w:val="0"/>
          <w:numId w:val="1002"/>
        </w:numPr>
        <w:pStyle w:val="Compact"/>
      </w:pPr>
      <w:r>
        <w:rPr>
          <w:bCs/>
          <w:b/>
          <w:lang w:val="pt-BR" w:eastAsia="pt-BR"/>
        </w:rPr>
        <w:t xml:space="preserve">Hebraico mais antigo:</w:t>
      </w:r>
      <w:r>
        <w:rPr>
          <w:lang w:val="pt-BR" w:eastAsia="pt-BR"/>
        </w:rPr>
        <w:t xml:space="preserve"> </w:t>
      </w:r>
      <w:r>
        <w:rPr>
          <w:lang w:val="pt-BR" w:eastAsia="pt-BR"/>
        </w:rPr>
        <w:t xml:space="preserve">inscrições do século X a.C., como Gezer e Khirbet Qeiyafa, são disputadas quanto à classificação especificamente hebraica. Textos dos séculos IX–VIII oferecem diagnósticos mais seguros.</w:t>
      </w:r>
    </w:p>
    <w:p>
      <w:pPr>
        <w:numPr>
          <w:ilvl w:val="0"/>
          <w:numId w:val="1002"/>
        </w:numPr>
        <w:pStyle w:val="Compact"/>
      </w:pPr>
      <w:r>
        <w:rPr>
          <w:bCs/>
          <w:b/>
          <w:lang w:val="pt-BR" w:eastAsia="pt-BR"/>
        </w:rPr>
        <w:t xml:space="preserve">Proto-Semítico:</w:t>
      </w:r>
      <w:r>
        <w:rPr>
          <w:lang w:val="pt-BR" w:eastAsia="pt-BR"/>
        </w:rPr>
        <w:t xml:space="preserve"> </w:t>
      </w:r>
      <w:r>
        <w:rPr>
          <w:lang w:val="pt-BR" w:eastAsia="pt-BR"/>
        </w:rPr>
        <w:t xml:space="preserve">a reconstrução fonológica e gramatical é sólida em linhas gerais, mas a realização fonética de algumas sibilantes e enfáticas, a 30ª consoante proposta e o local de origem permanecem debatidos.</w:t>
      </w:r>
    </w:p>
    <w:p>
      <w:pPr>
        <w:numPr>
          <w:ilvl w:val="0"/>
          <w:numId w:val="1002"/>
        </w:numPr>
        <w:pStyle w:val="Compact"/>
      </w:pPr>
      <w:r>
        <w:rPr>
          <w:bCs/>
          <w:b/>
          <w:lang w:val="pt-BR" w:eastAsia="pt-BR"/>
        </w:rPr>
        <w:t xml:space="preserve">Proto-Afro-Asiático:</w:t>
      </w:r>
      <w:r>
        <w:rPr>
          <w:lang w:val="pt-BR" w:eastAsia="pt-BR"/>
        </w:rPr>
        <w:t xml:space="preserve"> </w:t>
      </w:r>
      <w:r>
        <w:rPr>
          <w:lang w:val="pt-BR" w:eastAsia="pt-BR"/>
        </w:rPr>
        <w:t xml:space="preserve">a profundidade temporal, a inclusão do omótico, a árvore interna, a cronologia e a pátria original são muito menos consensuais.</w:t>
      </w:r>
    </w:p>
    <w:bookmarkEnd w:id="39"/>
    <w:bookmarkStart w:id="43" w:name="história-linguística-do-hebraico"/>
    <w:p>
      <w:bookmarkStart w:id="505" w:name="sec_006"/>
      <w:pPr>
        <w:pStyle w:val="Heading1"/>
        <w:pBdr>
          <w:bottom w:val="single" w:sz="12" w:space="6" w:color="C4942F"/>
        </w:pBdr>
      </w:pPr>
      <w:r>
        <w:rPr>
          <w:lang w:val="pt-BR" w:eastAsia="pt-BR"/>
        </w:rPr>
        <w:t xml:space="preserve">4. História linguística do hebraico</w:t>
      </w:r>
      <w:bookmarkEnd w:id="505"/>
    </w:p>
    <w:bookmarkStart w:id="40" w:name="o-que-chamamos-de-hebraico"/>
    <w:p>
      <w:pPr>
        <w:pStyle w:val="Heading2"/>
      </w:pPr>
      <w:r>
        <w:rPr>
          <w:lang w:val="pt-BR" w:eastAsia="pt-BR"/>
        </w:rPr>
        <w:t xml:space="preserve">4.1 O que chamamos de</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p>
    <w:p>
      <w:pPr>
        <w:pStyle w:val="FirstParagraph"/>
      </w:pP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cobre variedades de diferentes épocas: hebraico antigo ou epigráfico; hebraico bíblico, internamente variado e transmitido por manuscritos muito posteriores à composição de muitos textos; hebraico do Segundo Templo; hebraico de Qumran; hebraico mishnaico/rabínico; usos medievais; e hebraico moderno. Continuidade de tradição escrita não significa ausência de mudança. Pronúncia, léxico, morfossintaxe e funções sociais variaram profundamente (Sáenz-Badillos 1993; Khan 2013; Academy of the Hebrew Language 2026).</w:t>
      </w:r>
    </w:p>
    <w:bookmarkEnd w:id="40"/>
    <w:bookmarkStart w:id="41" w:name="emergência-no-contínuo-cananeu"/>
    <w:p>
      <w:pPr>
        <w:pStyle w:val="Heading2"/>
      </w:pPr>
      <w:r>
        <w:rPr>
          <w:lang w:val="pt-BR" w:eastAsia="pt-BR"/>
        </w:rPr>
        <w:t xml:space="preserve">4.2 Emergência no contínuo cananeu</w:t>
      </w:r>
    </w:p>
    <w:p>
      <w:pPr>
        <w:pStyle w:val="FirstParagraph"/>
      </w:pPr>
      <w:r>
        <w:rPr>
          <w:lang w:val="pt-BR" w:eastAsia="pt-BR"/>
        </w:rPr>
        <w:t xml:space="preserve">As variedades da Idade do Bronze no Levante formavam um contínuo semítico noroeste. As cartas de Amarna, escritas sobretudo em acadiano, preservam interferências e glosas cananeias do século XIV a.C. Elas são testemunhos de</w:t>
      </w:r>
      <w:r>
        <w:rPr>
          <w:lang w:val="pt-BR" w:eastAsia="pt-BR"/>
        </w:rPr>
        <w:t xml:space="preserve"> </w:t>
      </w:r>
      <w:r>
        <w:rPr>
          <w:lang w:val="pt-BR" w:eastAsia="pt-BR"/>
        </w:rPr>
        <w:t xml:space="preserve">“</w:t>
      </w:r>
      <w:r>
        <w:rPr>
          <w:lang w:val="pt-BR" w:eastAsia="pt-BR"/>
        </w:rPr>
        <w:t xml:space="preserve">cananeu de Amarna</w:t>
      </w:r>
      <w:r>
        <w:rPr>
          <w:lang w:val="pt-BR" w:eastAsia="pt-BR"/>
        </w:rPr>
        <w:t xml:space="preserve">”</w:t>
      </w:r>
      <w:r>
        <w:rPr>
          <w:lang w:val="pt-BR" w:eastAsia="pt-BR"/>
        </w:rPr>
        <w:t xml:space="preserve">, não textos hebraicos e não o ancestral linear exclusivo do hebraico. Durante a Idade do Ferro, variedades regionais tornam-se mais diagnosticáveis: fenício na costa, hebraico nos reinos de Israel e Judá, moabita a leste do mar Morto, amonita e edomita em corpora menores (Wilson-Wright 2019).</w:t>
      </w:r>
    </w:p>
    <w:p>
      <w:pPr>
        <w:pStyle w:val="BodyText"/>
      </w:pPr>
      <w:r>
        <w:rPr>
          <w:lang w:val="pt-BR" w:eastAsia="pt-BR"/>
        </w:rPr>
        <w:t xml:space="preserve">O surgimento de um nome linguístico é gradual. Uma inscrição pode estar em escrita linear cananeia e conter traços compatíveis com vários dialetos. Contexto político, paleografia e língua devem ser avaliados separadamente. A classificação</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torna-se mais segura quando um texto reúne proveniência israelita/judaíta, características linguísticas diagnósticas e uma tradição gráfica regional.</w:t>
      </w:r>
    </w:p>
    <w:bookmarkEnd w:id="41"/>
    <w:bookmarkStart w:id="42" w:name="periodização-sintética"/>
    <w:p>
      <w:pPr>
        <w:pStyle w:val="Heading2"/>
      </w:pPr>
      <w:r>
        <w:rPr>
          <w:lang w:val="pt-BR" w:eastAsia="pt-BR"/>
        </w:rPr>
        <w:t xml:space="preserve">4.3 Periodização sintética</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Estágio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Data aproximada</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Natureza da evidência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Antecedentes cananeus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XIV–XI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Glosas de Amarna e inscrições alfabéticas antigas; não são “hebraico” inequívoco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epigráfico/antigo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~séculos IX–VI a.C.; candidatos no X</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Inscrições monumentais, óstracos, selos e cartas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bíblico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Textos compostos/editados em etapas no I milênio a.C.; manuscritos preservados mais tardios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Corpus literário heterogêneo; ortografia e vocalização transmitidas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do Segundo Templo e Qumran</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~séculos V a.C.–I d.C.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Manuscritos, documentos e variedades literárias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mishnaico/rabínico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I–VI d.C.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Literatura legal e exegética; fala cotidiana em parte do período é debatida em detalhe</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medieval</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~séculos VI–XIX</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Liturgia, poesia, filosofia, ciência, correspondência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moderno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fim do século XIX–presente</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Vernacularização/revival com continuidade literária e reestruturação moderna</w:t>
            </w:r>
          </w:p>
        </w:tc>
      </w:tr>
    </w:tbl>
    <w:bookmarkEnd w:id="42"/>
    <w:bookmarkEnd w:id="43"/>
    <w:bookmarkStart w:id="46" w:name="posição-filogenética-do-hebraico"/>
    <w:p>
      <w:bookmarkStart w:id="506" w:name="sec_007"/>
      <w:pPr>
        <w:pStyle w:val="Heading1"/>
        <w:pBdr>
          <w:bottom w:val="single" w:sz="12" w:space="6" w:color="C4942F"/>
        </w:pBdr>
      </w:pPr>
      <w:r>
        <w:rPr>
          <w:lang w:val="pt-BR" w:eastAsia="pt-BR"/>
        </w:rPr>
        <w:t xml:space="preserve">5. Posição filogenética do hebraico</w:t>
      </w:r>
      <w:bookmarkEnd w:id="506"/>
    </w:p>
    <w:bookmarkStart w:id="44" w:name="a-cadeia-classificatória"/>
    <w:p>
      <w:pPr>
        <w:pStyle w:val="Heading2"/>
      </w:pPr>
      <w:r>
        <w:rPr>
          <w:lang w:val="pt-BR" w:eastAsia="pt-BR"/>
        </w:rPr>
        <w:t xml:space="preserve">5.1 A cadeia classificatória</w:t>
      </w:r>
    </w:p>
    <w:p>
      <w:pPr>
        <w:pStyle w:val="FirstParagraph"/>
      </w:pPr>
      <w:r>
        <w:rPr>
          <w:lang w:val="pt-BR" w:eastAsia="pt-BR"/>
        </w:rPr>
        <w:t xml:space="preserve">Uma formulação didática comum é:</w:t>
      </w:r>
    </w:p>
    <w:p>
      <w:pPr>
        <w:pStyle w:val="BodyText"/>
      </w:pPr>
      <w:r>
        <w:rPr>
          <w:bCs/>
          <w:b/>
          <w:lang w:val="pt-BR" w:eastAsia="pt-BR"/>
        </w:rPr>
        <w:t xml:space="preserve">Afro-Asiático → Semítico → Semítico Ocidental → Semítico Central → Semítico Noroeste → Cananeu → Hebraico.</w:t>
      </w:r>
    </w:p>
    <w:p>
      <w:pPr>
        <w:pStyle w:val="BodyText"/>
      </w:pPr>
      <w:r>
        <w:rPr>
          <w:lang w:val="pt-BR" w:eastAsia="pt-BR"/>
        </w:rPr>
        <w:t xml:space="preserve">Essa cadeia é útil, mas seus nós não têm todos o mesmo grau de consenso.</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Nível</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Estatuto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Qualificação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Afro-Asiático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amplamente aceito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Omótico é incluído por muitos, contestado por outros; árvore interna profunda é incerta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Semítico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Muito robusto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Definido por léxico, morfologia e correspondências extensas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Semítico Oriental</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Robusto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Acadiano e eblaíta contrastam com o restante por inovações compartilhadas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Semítico Ocidental</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Útil, mas sua estrutura interna é debatida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Pode funcionar como contraparte de oriental; “meridional” e “central” variam entre modelos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Semítico Central</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Amplamente influente, não unanimidade absoluta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Normalmente reúne árabe e semítico noroeste por inovações verbais e outras características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Semítico Noroeste</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Robusto como domínio; topologia interna debatida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Ugarítico, aramaico, cananeu, samaliano e Deir Alla; relações exatas podem ser modeladas como politomia ou subgrupos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Cananeu</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Robusto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fenício/púnico e variedades transjordanianas compartilham inovações; fronteiras dialetais são graduais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Diretamente documentado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Uma variedade/continuum histórico dentro do cananeu</w:t>
            </w:r>
          </w:p>
        </w:tc>
      </w:tr>
    </w:tbl>
    <w:p>
      <w:pPr>
        <w:pStyle w:val="BodyText"/>
      </w:pPr>
      <w:r>
        <w:rPr>
          <w:lang w:val="pt-BR" w:eastAsia="pt-BR"/>
        </w:rPr>
        <w:t xml:space="preserve">Rubin (2008) defende o valor do Semítico Central. Pat-El e Wilson-Wright (2018) salientam que a hierarquia interna do noroeste não está inteiramente resolvida e propõem um subgrupo aramaico-cananeu. Outros modelos mantêm aramaico, cananeu, ugarítico e variedades menores em relações menos hierarquizadas. Nenhuma dessas divergências transforma hebraico em ancestral de acadiano, árabe ou das línguas cananeias irmãs.</w:t>
      </w:r>
    </w:p>
    <w:bookmarkEnd w:id="44"/>
    <w:bookmarkStart w:id="45" w:name="irmão-não-é-pai"/>
    <w:p>
      <w:pPr>
        <w:pStyle w:val="Heading2"/>
      </w:pPr>
      <w:r>
        <w:rPr>
          <w:lang w:val="pt-BR" w:eastAsia="pt-BR"/>
        </w:rPr>
        <w:t xml:space="preserve">5.2 Irmão não é pai</w:t>
      </w:r>
    </w:p>
    <w:p>
      <w:pPr>
        <w:pStyle w:val="FirstParagraph"/>
      </w:pPr>
      <w:r>
        <w:rPr>
          <w:lang w:val="pt-BR" w:eastAsia="pt-BR"/>
        </w:rPr>
        <w:t xml:space="preserve">Classificar hebraico e fenício como cananeus significa que ambos descendem de uma fase ancestral com inovações compartilhadas. Um paralelo biológico ajuda, com cautela: dois irmãos compartilham pais, mas um não é, por isso, pai do outro. Linguisticamente, a prova está nas mudanças: se hebraico e fenício exibem uma inovação ausente em ugarítico, a hipótese econômica é que a mudança ocorreu no ancestral cananeu; se cada um possui outras inovações exclusivas, eles se separaram depois.</w:t>
      </w:r>
    </w:p>
    <w:p>
      <w:pPr>
        <w:pStyle w:val="BodyText"/>
      </w:pPr>
      <w:r>
        <w:rPr>
          <w:lang w:val="pt-BR" w:eastAsia="pt-BR"/>
        </w:rPr>
        <w:t xml:space="preserve">Derivar fenício, moabita e amonita do hebraico exigiria reclassificar como</w:t>
      </w:r>
      <w:r>
        <w:rPr>
          <w:lang w:val="pt-BR" w:eastAsia="pt-BR"/>
        </w:rPr>
        <w:t xml:space="preserve"> </w:t>
      </w:r>
      <w:r>
        <w:rPr>
          <w:lang w:val="pt-BR" w:eastAsia="pt-BR"/>
        </w:rPr>
        <w:t xml:space="preserve">“</w:t>
      </w:r>
      <w:r>
        <w:rPr>
          <w:lang w:val="pt-BR" w:eastAsia="pt-BR"/>
        </w:rPr>
        <w:t xml:space="preserve">hebraicas</w:t>
      </w:r>
      <w:r>
        <w:rPr>
          <w:lang w:val="pt-BR" w:eastAsia="pt-BR"/>
        </w:rPr>
        <w:t xml:space="preserve">”</w:t>
      </w:r>
      <w:r>
        <w:rPr>
          <w:lang w:val="pt-BR" w:eastAsia="pt-BR"/>
        </w:rPr>
        <w:t xml:space="preserve"> </w:t>
      </w:r>
      <w:r>
        <w:rPr>
          <w:lang w:val="pt-BR" w:eastAsia="pt-BR"/>
        </w:rPr>
        <w:t xml:space="preserve">precisamente as características que definem o ancestral comum, além de explicar por que os primeiros textos regionais não passam por uma sequência intermediária hebraica documentável. O rótulo moderno de uma filha não deve ser projetado retrospectivamente sobre o ancestral.</w:t>
      </w:r>
    </w:p>
    <w:bookmarkEnd w:id="45"/>
    <w:bookmarkEnd w:id="46"/>
    <w:bookmarkStart w:id="53" w:name="proto-semítico"/>
    <w:p>
      <w:bookmarkStart w:id="507" w:name="sec_008"/>
      <w:pPr>
        <w:pStyle w:val="Heading1"/>
        <w:pBdr>
          <w:bottom w:val="single" w:sz="12" w:space="6" w:color="C4942F"/>
        </w:pBdr>
      </w:pPr>
      <w:r>
        <w:rPr>
          <w:lang w:val="pt-BR" w:eastAsia="pt-BR"/>
        </w:rPr>
        <w:t xml:space="preserve">6. Proto-Semítico</w:t>
      </w:r>
      <w:bookmarkEnd w:id="507"/>
    </w:p>
    <w:bookmarkStart w:id="47" w:name="natureza-e-datação"/>
    <w:p>
      <w:pPr>
        <w:pStyle w:val="Heading2"/>
      </w:pPr>
      <w:r>
        <w:rPr>
          <w:lang w:val="pt-BR" w:eastAsia="pt-BR"/>
        </w:rPr>
        <w:t xml:space="preserve">6.1 Natureza e datação</w:t>
      </w:r>
    </w:p>
    <w:p>
      <w:pPr>
        <w:pStyle w:val="FirstParagraph"/>
      </w:pPr>
      <w:r>
        <w:rPr>
          <w:lang w:val="pt-BR" w:eastAsia="pt-BR"/>
        </w:rPr>
        <w:t xml:space="preserve">Proto-Semítico (PS) é a língua reconstruída mais recente da qual descendem os ramos semíticos documentados. Não foi encontrado em tabuletas e não deve ser confundido com uma língua</w:t>
      </w:r>
      <w:r>
        <w:rPr>
          <w:lang w:val="pt-BR" w:eastAsia="pt-BR"/>
        </w:rPr>
        <w:t xml:space="preserve"> </w:t>
      </w:r>
      <w:r>
        <w:rPr>
          <w:lang w:val="pt-BR" w:eastAsia="pt-BR"/>
        </w:rPr>
        <w:t xml:space="preserve">“</w:t>
      </w:r>
      <w:r>
        <w:rPr>
          <w:lang w:val="pt-BR" w:eastAsia="pt-BR"/>
        </w:rPr>
        <w:t xml:space="preserve">misteriosa</w:t>
      </w:r>
      <w:r>
        <w:rPr>
          <w:lang w:val="pt-BR" w:eastAsia="pt-BR"/>
        </w:rPr>
        <w:t xml:space="preserve">”</w:t>
      </w:r>
      <w:r>
        <w:rPr>
          <w:lang w:val="pt-BR" w:eastAsia="pt-BR"/>
        </w:rPr>
        <w:t xml:space="preserve"> </w:t>
      </w:r>
      <w:r>
        <w:rPr>
          <w:lang w:val="pt-BR" w:eastAsia="pt-BR"/>
        </w:rPr>
        <w:t xml:space="preserve">escrita. Como o contraste entre semítico oriental e ocidental já é visível na primeira metade do III milênio a.C., Huehnergard (2019) situa o PS, no máximo, no fim do IV milênio a.C.; propostas arqueolinguísticas frequentemente o colocam por volta de ~4500–3500 a.C. A margem é larga e não há um relógio único.</w:t>
      </w:r>
    </w:p>
    <w:p>
      <w:pPr>
        <w:pStyle w:val="BodyText"/>
      </w:pPr>
      <w:r>
        <w:rPr>
          <w:lang w:val="pt-BR" w:eastAsia="pt-BR"/>
        </w:rPr>
        <w:t xml:space="preserve">A localização é ainda mais incerta. Foram propostas a região siro-mesopotâmica, o Levante, o norte da Arábia e zonas de contato entre Nordeste da África e Sudoeste Asiático. Léxico reconstruído, arqueologia e distribuição posterior oferecem indícios, não coordenadas. A data e a pátria do PS não precisam ser resolvidas para reconhecer que ele antecede a divisão entre acadiano e hebraico.</w:t>
      </w:r>
    </w:p>
    <w:bookmarkEnd w:id="47"/>
    <w:bookmarkStart w:id="48" w:name="sistema-consonantal-reconstruído"/>
    <w:p>
      <w:pPr>
        <w:pStyle w:val="Heading2"/>
      </w:pPr>
      <w:r>
        <w:rPr>
          <w:lang w:val="pt-BR" w:eastAsia="pt-BR"/>
        </w:rPr>
        <w:t xml:space="preserve">6.2 Sistema consonantal reconstruído</w:t>
      </w:r>
    </w:p>
    <w:p>
      <w:pPr>
        <w:pStyle w:val="FirstParagraph"/>
      </w:pPr>
      <w:r>
        <w:rPr>
          <w:lang w:val="pt-BR" w:eastAsia="pt-BR"/>
        </w:rPr>
        <w:t xml:space="preserve">A reconstrução tradicional possui 29 consoantes; algumas análises defendem uma trigésima fricativa velar/uvular enfática. Os valores fonéticos exatos de sibilantes e</w:t>
      </w:r>
      <w:r>
        <w:rPr>
          <w:lang w:val="pt-BR" w:eastAsia="pt-BR"/>
        </w:rPr>
        <w:t xml:space="preserve"> </w:t>
      </w:r>
      <w:r>
        <w:rPr>
          <w:lang w:val="pt-BR" w:eastAsia="pt-BR"/>
        </w:rPr>
        <w:t xml:space="preserve">“</w:t>
      </w:r>
      <w:r>
        <w:rPr>
          <w:lang w:val="pt-BR" w:eastAsia="pt-BR"/>
        </w:rPr>
        <w:t xml:space="preserve">enfáticas</w:t>
      </w:r>
      <w:r>
        <w:rPr>
          <w:lang w:val="pt-BR" w:eastAsia="pt-BR"/>
        </w:rPr>
        <w:t xml:space="preserve">”</w:t>
      </w:r>
      <w:r>
        <w:rPr>
          <w:lang w:val="pt-BR" w:eastAsia="pt-BR"/>
        </w:rPr>
        <w:t xml:space="preserve"> </w:t>
      </w:r>
      <w:r>
        <w:rPr>
          <w:lang w:val="pt-BR" w:eastAsia="pt-BR"/>
        </w:rPr>
        <w:t xml:space="preserve">são parcialmente incertos. A tabela usa uma notação fonética aproximada e os símbolos tradicionais mais comuns (Huehnergard 2019).</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Classe</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Fonemas reconstruídos (aprox.)</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Observações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Oclusivas labiais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 b</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Árabe mudou *p regularmente para f; hebraico manteve p, com alofonia posterior</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Oclusivas coronais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t, d, *ṭ</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*ṭ representa uma enfática; realização antiga pode ter sido ejetiva/glotalizada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Oclusivas velares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k, g, *q</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*q é a enfática/uvular correspondente em notação tradicional</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Glotal</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*ʾ /ʔ/</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Pode perder-se ou modificar vogais em línguas filhas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Nasais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 n</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Amplamente preservadas, com assimilações locais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Líquidas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 l</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Há debates sobre lateral adicional em parte da reconstrução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Interdentais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ṯ /θ/, ḏ /ð/, *ṯ̣ /θˤ~θʼ/</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Preservadas em árabe e parcialmente em ugarítico; fundidas no hebraico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Fricativas dorsais/faríngeas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ḫ /x~χ/, ġ /ɣ~ʁ/, ḥ /ħ/, ʿ /ʕ/, *h</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fundiu reflexos de algumas dorsais com faríngeas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Sibilantes/africadas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 z, ṣ e séries tradicionalmente grafadas š/*ś</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Valores precisos são debatidos; correspondências são mais seguras que os rótulos fonéticos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Semivogais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w, y</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Participam de mudanças vocálicas e de raízes fracas</w:t>
            </w:r>
          </w:p>
        </w:tc>
      </w:tr>
    </w:tbl>
    <w:p>
      <w:pPr>
        <w:pStyle w:val="BodyText"/>
      </w:pPr>
      <w:r>
        <w:rPr>
          <w:lang w:val="pt-BR" w:eastAsia="pt-BR"/>
        </w:rPr>
        <w:t xml:space="preserve">O sistema vocálico básico reconstruído distingue</w:t>
      </w:r>
      <w:r>
        <w:rPr>
          <w:lang w:val="pt-BR" w:eastAsia="pt-BR"/>
        </w:rPr>
        <w:t xml:space="preserve"> </w:t>
      </w:r>
      <w:r>
        <w:rPr>
          <w:iCs/>
          <w:i/>
          <w:lang w:val="pt-BR" w:eastAsia="pt-BR"/>
        </w:rPr>
        <w:t xml:space="preserve">a,</w:t>
      </w:r>
      <w:r>
        <w:rPr>
          <w:iCs/>
          <w:i/>
          <w:lang w:val="pt-BR" w:eastAsia="pt-BR"/>
        </w:rPr>
        <w:t xml:space="preserve"> </w:t>
      </w:r>
      <w:r>
        <w:rPr>
          <w:lang w:val="pt-BR" w:eastAsia="pt-BR"/>
        </w:rPr>
        <w:t xml:space="preserve">i,</w:t>
      </w:r>
      <w:r>
        <w:rPr>
          <w:lang w:val="pt-BR" w:eastAsia="pt-BR"/>
        </w:rPr>
        <w:t xml:space="preserve"> </w:t>
      </w:r>
      <w:r>
        <w:rPr>
          <w:iCs/>
          <w:i/>
          <w:lang w:val="pt-BR" w:eastAsia="pt-BR"/>
        </w:rPr>
        <w:t xml:space="preserve">u breves e</w:t>
      </w:r>
      <w:r>
        <w:rPr>
          <w:iCs/>
          <w:i/>
          <w:lang w:val="pt-BR" w:eastAsia="pt-BR"/>
        </w:rPr>
        <w:t xml:space="preserve"> </w:t>
      </w:r>
      <w:r>
        <w:rPr>
          <w:lang w:val="pt-BR" w:eastAsia="pt-BR"/>
        </w:rPr>
        <w:t xml:space="preserve">ā,</w:t>
      </w:r>
      <w:r>
        <w:rPr>
          <w:lang w:val="pt-BR" w:eastAsia="pt-BR"/>
        </w:rPr>
        <w:t xml:space="preserve"> </w:t>
      </w:r>
      <w:r>
        <w:rPr>
          <w:iCs/>
          <w:i/>
          <w:lang w:val="pt-BR" w:eastAsia="pt-BR"/>
        </w:rPr>
        <w:t xml:space="preserve">ī,</w:t>
      </w:r>
      <w:r>
        <w:rPr>
          <w:iCs/>
          <w:i/>
          <w:lang w:val="pt-BR" w:eastAsia="pt-BR"/>
        </w:rPr>
        <w:t xml:space="preserve"> </w:t>
      </w:r>
      <w:r>
        <w:rPr>
          <w:lang w:val="pt-BR" w:eastAsia="pt-BR"/>
        </w:rPr>
        <w:t xml:space="preserve">ū longas. Sílabas típicas eram CV, CVV e CVC, sem grupos consonantais iniciais reconstruídos. O hebraico tiberiense, com sua vocalização medieval, não reproduz diretamente esse sistema; ele registra o resultado de séculos de mudanças e de uma tradição de leitura.</w:t>
      </w:r>
    </w:p>
    <w:bookmarkEnd w:id="48"/>
    <w:bookmarkStart w:id="49" w:name="morfologia-reconstruída"/>
    <w:p>
      <w:pPr>
        <w:pStyle w:val="Heading2"/>
      </w:pPr>
      <w:r>
        <w:rPr>
          <w:lang w:val="pt-BR" w:eastAsia="pt-BR"/>
        </w:rPr>
        <w:t xml:space="preserve">6.3 Morfologia reconstruída</w:t>
      </w:r>
    </w:p>
    <w:p>
      <w:pPr>
        <w:pStyle w:val="FirstParagraph"/>
      </w:pPr>
      <w:r>
        <w:rPr>
          <w:lang w:val="pt-BR" w:eastAsia="pt-BR"/>
        </w:rPr>
        <w:t xml:space="preserve">Entre as características reconstruídas com diferentes graus de segurança estão:</w:t>
      </w:r>
    </w:p>
    <w:p>
      <w:pPr>
        <w:numPr>
          <w:ilvl w:val="0"/>
          <w:numId w:val="1003"/>
        </w:numPr>
        <w:pStyle w:val="Compact"/>
      </w:pPr>
      <w:r>
        <w:rPr>
          <w:lang w:val="pt-BR" w:eastAsia="pt-BR"/>
        </w:rPr>
        <w:t xml:space="preserve">gênero masculino e feminino; o feminino frequentemente marcado por *-at-;</w:t>
      </w:r>
    </w:p>
    <w:p>
      <w:pPr>
        <w:numPr>
          <w:ilvl w:val="0"/>
          <w:numId w:val="1003"/>
        </w:numPr>
        <w:pStyle w:val="Compact"/>
      </w:pPr>
      <w:r>
        <w:rPr>
          <w:lang w:val="pt-BR" w:eastAsia="pt-BR"/>
        </w:rPr>
        <w:t xml:space="preserve">singular, dual e plural;</w:t>
      </w:r>
    </w:p>
    <w:p>
      <w:pPr>
        <w:numPr>
          <w:ilvl w:val="0"/>
          <w:numId w:val="1003"/>
        </w:numPr>
        <w:pStyle w:val="Compact"/>
      </w:pPr>
      <w:r>
        <w:rPr>
          <w:lang w:val="pt-BR" w:eastAsia="pt-BR"/>
        </w:rPr>
        <w:t xml:space="preserve">três casos nominais no singular em parte do sistema: nominativo</w:t>
      </w:r>
      <w:r>
        <w:rPr>
          <w:lang w:val="pt-BR" w:eastAsia="pt-BR"/>
        </w:rPr>
        <w:t xml:space="preserve"> </w:t>
      </w:r>
      <w:r>
        <w:rPr>
          <w:iCs/>
          <w:i/>
          <w:lang w:val="pt-BR" w:eastAsia="pt-BR"/>
        </w:rPr>
        <w:t xml:space="preserve">-u, genitivo</w:t>
      </w:r>
      <w:r>
        <w:rPr>
          <w:iCs/>
          <w:i/>
          <w:lang w:val="pt-BR" w:eastAsia="pt-BR"/>
        </w:rPr>
        <w:t xml:space="preserve"> </w:t>
      </w:r>
      <w:r>
        <w:rPr>
          <w:lang w:val="pt-BR" w:eastAsia="pt-BR"/>
        </w:rPr>
        <w:t xml:space="preserve">-i, acusativo *-a, com nasalização/mimação em certos estados;</w:t>
      </w:r>
    </w:p>
    <w:p>
      <w:pPr>
        <w:numPr>
          <w:ilvl w:val="0"/>
          <w:numId w:val="1003"/>
        </w:numPr>
        <w:pStyle w:val="Compact"/>
      </w:pPr>
      <w:r>
        <w:rPr>
          <w:lang w:val="pt-BR" w:eastAsia="pt-BR"/>
        </w:rPr>
        <w:t xml:space="preserve">pronomes pessoais independentes e sufixos pronominais;</w:t>
      </w:r>
    </w:p>
    <w:p>
      <w:pPr>
        <w:numPr>
          <w:ilvl w:val="0"/>
          <w:numId w:val="1003"/>
        </w:numPr>
        <w:pStyle w:val="Compact"/>
      </w:pPr>
      <w:r>
        <w:rPr>
          <w:lang w:val="pt-BR" w:eastAsia="pt-BR"/>
        </w:rPr>
        <w:t xml:space="preserve">raízes predominantemente consonantais e padrões derivacionais;</w:t>
      </w:r>
    </w:p>
    <w:p>
      <w:pPr>
        <w:numPr>
          <w:ilvl w:val="0"/>
          <w:numId w:val="1003"/>
        </w:numPr>
        <w:pStyle w:val="Compact"/>
      </w:pPr>
      <w:r>
        <w:rPr>
          <w:lang w:val="pt-BR" w:eastAsia="pt-BR"/>
        </w:rPr>
        <w:t xml:space="preserve">conjugação sufixal e conjugações prefixais, cuja história interna é complexa;</w:t>
      </w:r>
    </w:p>
    <w:p>
      <w:pPr>
        <w:numPr>
          <w:ilvl w:val="0"/>
          <w:numId w:val="1003"/>
        </w:numPr>
        <w:pStyle w:val="Compact"/>
      </w:pPr>
      <w:r>
        <w:rPr>
          <w:lang w:val="pt-BR" w:eastAsia="pt-BR"/>
        </w:rPr>
        <w:t xml:space="preserve">construções de estado construto para posse;</w:t>
      </w:r>
    </w:p>
    <w:p>
      <w:pPr>
        <w:numPr>
          <w:ilvl w:val="0"/>
          <w:numId w:val="1003"/>
        </w:numPr>
        <w:pStyle w:val="Compact"/>
      </w:pPr>
      <w:r>
        <w:rPr>
          <w:lang w:val="pt-BR" w:eastAsia="pt-BR"/>
        </w:rPr>
        <w:t xml:space="preserve">ausência de um artigo definido único reconstruível para o estágio comum.</w:t>
      </w:r>
    </w:p>
    <w:p>
      <w:pPr>
        <w:pStyle w:val="FirstParagraph"/>
      </w:pPr>
      <w:r>
        <w:rPr>
          <w:lang w:val="pt-BR" w:eastAsia="pt-BR"/>
        </w:rPr>
        <w:t xml:space="preserve">O sistema de casos é sustentado independentemente por acadiano, ugarítico, árabe clássico e geʿez, embora com desenvolvimentos próprios (Suchard 2021). O hebraico bíblico não preserva produtivamente essas terminações. Não é metodologicamente econômico supor que línguas mais antigas</w:t>
      </w:r>
      <w:r>
        <w:rPr>
          <w:lang w:val="pt-BR" w:eastAsia="pt-BR"/>
        </w:rPr>
        <w:t xml:space="preserve"> </w:t>
      </w:r>
      <w:r>
        <w:rPr>
          <w:lang w:val="pt-BR" w:eastAsia="pt-BR"/>
        </w:rPr>
        <w:t xml:space="preserve">“</w:t>
      </w:r>
      <w:r>
        <w:rPr>
          <w:lang w:val="pt-BR" w:eastAsia="pt-BR"/>
        </w:rPr>
        <w:t xml:space="preserve">recriaram</w:t>
      </w:r>
      <w:r>
        <w:rPr>
          <w:lang w:val="pt-BR" w:eastAsia="pt-BR"/>
        </w:rPr>
        <w:t xml:space="preserve">”</w:t>
      </w:r>
      <w:r>
        <w:rPr>
          <w:lang w:val="pt-BR" w:eastAsia="pt-BR"/>
        </w:rPr>
        <w:t xml:space="preserve"> </w:t>
      </w:r>
      <w:r>
        <w:rPr>
          <w:lang w:val="pt-BR" w:eastAsia="pt-BR"/>
        </w:rPr>
        <w:t xml:space="preserve">o mesmo paradigma depois de derivarem de um hebraico sem casos.</w:t>
      </w:r>
    </w:p>
    <w:bookmarkEnd w:id="49"/>
    <w:bookmarkStart w:id="50" w:name="conjuntos-de-cognatos-e-correspondências"/>
    <w:p>
      <w:pPr>
        <w:pStyle w:val="Heading2"/>
      </w:pPr>
      <w:r>
        <w:rPr>
          <w:lang w:val="pt-BR" w:eastAsia="pt-BR"/>
        </w:rPr>
        <w:t xml:space="preserve">6.4 Conjuntos de cognatos e correspondências</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1377"/>
        <w:gridCol w:w="1377"/>
        <w:gridCol w:w="1377"/>
        <w:gridCol w:w="1377"/>
        <w:gridCol w:w="1377"/>
        <w:gridCol w:w="1377"/>
        <w:gridCol w:w="1377"/>
      </w:tblGrid>
      <w:tr>
        <w:trPr>
          <w:tblHeader w:val="true"/>
          <w:cantSplit/>
        </w:trPr>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Significado</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Forma reconstruída</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Acadiano</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Ugarítico</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Hebraico</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Árabe clássico</w:t>
            </w:r>
          </w:p>
        </w:tc>
        <w:tc>
          <w:tcPr>
            <w:tcW w:type="dxa" w:w="1377"/>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Diagnóstico</w:t>
            </w:r>
          </w:p>
        </w:tc>
      </w:tr>
      <w:tr>
        <w:trPr>
          <w:cantSplit/>
        </w:trPr>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três</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*ṯalāṯ-</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šalāš-</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ṯlṯ</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šālōš</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ṯalāṯ-</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PS *ṯ &gt; š em acadiano/hebraico, mas ṯ em ugarítico/árabe; ā &gt; ō cananeu em hebraico</w:t>
            </w:r>
          </w:p>
        </w:tc>
      </w:tr>
      <w:tr>
        <w:trPr>
          <w:cantSplit/>
        </w:trPr>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casa</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*bayt-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bītu(m)</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bayit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bayt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Diftongo e vogais evoluem de modo diferente; raiz b-y-t comum</w:t>
            </w:r>
          </w:p>
        </w:tc>
      </w:tr>
      <w:tr>
        <w:trPr>
          <w:cantSplit/>
        </w:trPr>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cabeça</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raʾš-/raʾs-</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rēšu(m)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rʾš</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rōʾš</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raʾs</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Reflexos regulares de sibilantes e vogais; não uma cadeia hebraico → árabe</w:t>
            </w:r>
          </w:p>
        </w:tc>
      </w:tr>
      <w:tr>
        <w:trPr>
          <w:cantSplit/>
        </w:trPr>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pai</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ʾab(w)-</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abu(m)</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ʾab</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ʾāv</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ʾab</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 intervocálico/espirantização e terminações distintas</w:t>
            </w:r>
          </w:p>
        </w:tc>
      </w:tr>
      <w:tr>
        <w:trPr>
          <w:cantSplit/>
        </w:trPr>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mãe</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ʾimm-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ummu(m)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ʾum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ʾēm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ʾumm</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Variação vocálica regular e morfologia herdada</w:t>
            </w:r>
          </w:p>
        </w:tc>
      </w:tr>
      <w:tr>
        <w:trPr>
          <w:cantSplit/>
        </w:trPr>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filho</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bin-</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binu(m)</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bn</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bēn</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ibn/bin</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Mudanças vocálicas e prótese árabe em certos contextos</w:t>
            </w:r>
          </w:p>
        </w:tc>
      </w:tr>
      <w:tr>
        <w:trPr>
          <w:cantSplit/>
        </w:trPr>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mão</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yad-</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qātu(m) é o termo comum; cognato semântico não direto</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yd</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yād</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yad</w:t>
            </w:r>
          </w:p>
        </w:tc>
        <w:tc>
          <w:tcPr>
            <w:tcW w:type="dxa" w:w="1377"/>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Mostra por que significado igual sem cognato formal não basta</w:t>
            </w:r>
          </w:p>
        </w:tc>
      </w:tr>
      <w:tr>
        <w:trPr>
          <w:cantSplit/>
        </w:trPr>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ano</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san-at-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šattu(m)</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šnt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šānâ</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sana(t)-</w:t>
            </w:r>
          </w:p>
        </w:tc>
        <w:tc>
          <w:tcPr>
            <w:tcW w:type="dxa" w:w="1377"/>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Assimilação e correspondências de sibilantes; feminino -at visível em estados diferentes</w:t>
            </w:r>
          </w:p>
        </w:tc>
      </w:tr>
    </w:tbl>
    <w:p>
      <w:pPr>
        <w:pStyle w:val="BodyText"/>
      </w:pPr>
      <w:r>
        <w:rPr>
          <w:lang w:val="pt-BR" w:eastAsia="pt-BR"/>
        </w:rPr>
        <w:t xml:space="preserve">As transcrições simplificam tradições ortográficas distintas. A última coluna é o ponto probatório: uma mesma oposição ancestral produz reflexos recorrentes. Não se escolhe uma regra nova para cada palavra.</w:t>
      </w:r>
    </w:p>
    <w:bookmarkEnd w:id="50"/>
    <w:bookmarkStart w:id="51" w:name="Xb248942984cd8d78954c301115938ed4f031b7a"/>
    <w:p>
      <w:pPr>
        <w:pStyle w:val="Heading2"/>
      </w:pPr>
      <w:r>
        <w:rPr>
          <w:lang w:val="pt-BR" w:eastAsia="pt-BR"/>
        </w:rPr>
        <w:t xml:space="preserve">6.5 O que outras línguas preservam e o hebraico perdeu</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Traço reconstruído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Preservação externa ao hebraico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Situação no hebraico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Consequência histórica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Interdentais ṯ, ḏ</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Árabe e ugarítico mantêm distinções importantes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Fundidas principalmente com š/z e outros reflexos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não pode ser a fonte simples de contrastes que não possui</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Casos -u, -i, *-a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Acadiano e árabe clássico; vestígios/uso em ugarítico e geʿez</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Perdidos como paradigma produtivo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O sistema se reconstrói acima do hebraico</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Dual produtivo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Antigo acadiano, ugarítico e árabe têm uso mais amplo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Restrito e lexicalizado em parte</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Diferentes filhas conservam porções do sistema ancestral</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Vogal longa *ā</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Árabe e ugarítico preservam em muitos ambientes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Mudança cananeia para ō em ambientes definidos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O ō hebraico é uma inovação, não o estado de origem</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Plurais internos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produtivos em árabe e línguas etiópicas/sul-arábicas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Sistema bem mais limitado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Não é plausível derivar toda a complexidade por criações paralelas a partir do hebraico</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Contrastes guturais/dorsais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Árabe e ugarítico preservam contrastes adicionais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Algumas fusões em ḥ/ʿ e efeitos vocálicos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Filhas diferentes são conservadoras em dimensões diferentes</w:t>
            </w:r>
          </w:p>
        </w:tc>
      </w:tr>
    </w:tbl>
    <w:bookmarkEnd w:id="51"/>
    <w:bookmarkStart w:id="52" w:name="resultado-do-teste-proto-semítico"/>
    <w:p>
      <w:pPr>
        <w:pStyle w:val="Heading2"/>
      </w:pPr>
      <w:r>
        <w:rPr>
          <w:lang w:val="pt-BR" w:eastAsia="pt-BR"/>
        </w:rPr>
        <w:t xml:space="preserve">6.6 Resultado do teste proto-semítico</w:t>
      </w:r>
    </w:p>
    <w:p>
      <w:pPr>
        <w:pStyle w:val="FirstParagraph"/>
      </w:pPr>
      <w:r>
        <w:rPr>
          <w:lang w:val="pt-BR" w:eastAsia="pt-BR"/>
        </w:rPr>
        <w:t xml:space="preserve">O hebraico contém herança proto-semítica, assim como as demais filhas. Mas seu perfil combina arcaísmos e inovações cananeias. A reconstrução do PS exige dados de todos os ramos; projetar apenas o hebraico para trás perderia contrastes que outras línguas demonstram. Portanto, Proto-Semítico não é outro nome para hebraico.</w:t>
      </w:r>
    </w:p>
    <w:bookmarkEnd w:id="52"/>
    <w:bookmarkEnd w:id="53"/>
    <w:bookmarkStart w:id="57" w:name="proto-afro-asiático"/>
    <w:p>
      <w:bookmarkStart w:id="508" w:name="sec_009"/>
      <w:pPr>
        <w:pStyle w:val="Heading1"/>
        <w:pBdr>
          <w:bottom w:val="single" w:sz="12" w:space="6" w:color="C4942F"/>
        </w:pBdr>
      </w:pPr>
      <w:r>
        <w:rPr>
          <w:lang w:val="pt-BR" w:eastAsia="pt-BR"/>
        </w:rPr>
        <w:t xml:space="preserve">7. Proto-Afro-Asiático</w:t>
      </w:r>
      <w:bookmarkEnd w:id="508"/>
    </w:p>
    <w:bookmarkStart w:id="54" w:name="ramos-e-controvérsias"/>
    <w:p>
      <w:pPr>
        <w:pStyle w:val="Heading2"/>
      </w:pPr>
      <w:r>
        <w:rPr>
          <w:lang w:val="pt-BR" w:eastAsia="pt-BR"/>
        </w:rPr>
        <w:t xml:space="preserve">7.1 Ramos e controvérsias</w:t>
      </w:r>
    </w:p>
    <w:p>
      <w:pPr>
        <w:pStyle w:val="FirstParagraph"/>
      </w:pPr>
      <w:r>
        <w:rPr>
          <w:lang w:val="pt-BR" w:eastAsia="pt-BR"/>
        </w:rPr>
        <w:t xml:space="preserve">O Afro-Asiático é um agrupamento de grande profundidade. A apresentação de seis ramos é comum: semítico, egípcio, berbere, cuchítico, chádico e omótico (Frajzyngier e Shay 2012). A inclusão do omótico, porém, é contestada; o Glottolog, adotando uma postura conservadora, não o inclui sem diagnósticos considerados suficientes. Também se discute se</w:t>
      </w:r>
      <w:r>
        <w:rPr>
          <w:lang w:val="pt-BR" w:eastAsia="pt-BR"/>
        </w:rPr>
        <w:t xml:space="preserve"> </w:t>
      </w:r>
      <w:r>
        <w:rPr>
          <w:lang w:val="pt-BR" w:eastAsia="pt-BR"/>
        </w:rPr>
        <w:t xml:space="preserve">“</w:t>
      </w:r>
      <w:r>
        <w:rPr>
          <w:lang w:val="pt-BR" w:eastAsia="pt-BR"/>
        </w:rPr>
        <w:t xml:space="preserve">berbere</w:t>
      </w:r>
      <w:r>
        <w:rPr>
          <w:lang w:val="pt-BR" w:eastAsia="pt-BR"/>
        </w:rPr>
        <w:t xml:space="preserve">”</w:t>
      </w:r>
      <w:r>
        <w:rPr>
          <w:lang w:val="pt-BR" w:eastAsia="pt-BR"/>
        </w:rPr>
        <w:t xml:space="preserve"> </w:t>
      </w:r>
      <w:r>
        <w:rPr>
          <w:lang w:val="pt-BR" w:eastAsia="pt-BR"/>
        </w:rPr>
        <w:t xml:space="preserve">e outros ramos devem ser internamente subdivididos antes de comparações profundas.</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Ramo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Exemplos</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Situação documental</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Observação classificatória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Semítico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Acadiano, hebraico, aramaico, árabe, geʿez</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Desde o III milênio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Ramo internamente bem demonstrado</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Egípcio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Egípcio antigo a copta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Desde o fim do IV milênio a.C.</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Ramo unitário com longa história escrita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Berbere</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Tuaregue, tamazight, tarifit</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Antiguidade líbico-berbere e documentação moderna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Relação afro-asiática amplamente aceita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Cuchítico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Oromo, Somali, Beja e outros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Predominantemente moderna; tradições regionais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Estrutura interna debatida; posição do Beja varia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Chádico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Hausa e centenas de línguas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Majoritariamente moderna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Ramo amplo, com reconstruções internas</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Omótico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Wolaytta, Gamo, Bench e outros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Moderna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Frequentemente incluído, mas estatuto afro-asiático contestado</w:t>
            </w:r>
          </w:p>
        </w:tc>
      </w:tr>
    </w:tbl>
    <w:bookmarkEnd w:id="54"/>
    <w:bookmarkStart w:id="55" w:name="data-região-e-limites"/>
    <w:p>
      <w:pPr>
        <w:pStyle w:val="Heading2"/>
      </w:pPr>
      <w:r>
        <w:rPr>
          <w:lang w:val="pt-BR" w:eastAsia="pt-BR"/>
        </w:rPr>
        <w:t xml:space="preserve">7.2 Data, região e limites</w:t>
      </w:r>
    </w:p>
    <w:p>
      <w:pPr>
        <w:pStyle w:val="FirstParagraph"/>
      </w:pPr>
      <w:r>
        <w:rPr>
          <w:lang w:val="pt-BR" w:eastAsia="pt-BR"/>
        </w:rPr>
        <w:t xml:space="preserve">As propostas para Proto-Afro-Asiático variam aproximadamente de ~18.000 a ~8.000 a.C., e algumas cronologias ficam fora desse intervalo. Essa dispersão não deve ser comprimida em uma data exata. Hipóteses de origem incluem o Nordeste da África, o Saara oriental, o Chifre da África e o Levante/adjacências do mar Vermelho. Léxico de subsistência, arqueologia e genética foram usados, mas dependem de reconstruções e associações discutíveis.</w:t>
      </w:r>
    </w:p>
    <w:p>
      <w:pPr>
        <w:pStyle w:val="BodyText"/>
      </w:pPr>
      <w:r>
        <w:rPr>
          <w:lang w:val="pt-BR" w:eastAsia="pt-BR"/>
        </w:rPr>
        <w:t xml:space="preserve">Alguns paralelos são recorrentes — gênero gramatical, elementos pronominais, feminino em *t, padrões de derivação e correspondências lexicais —, mas a distância temporal torna difícil distinguir herança, erosão, analogia e contato. Não há reconstrução consensual do inventário completo, da sintaxe ou de uma árvore interna com resolução comparável à do indo-europeu ou do semítico.</w:t>
      </w:r>
    </w:p>
    <w:bookmarkEnd w:id="55"/>
    <w:bookmarkStart w:id="56" w:name="pode-o-proto-afro-asiático-ser-hebraico"/>
    <w:p>
      <w:pPr>
        <w:pStyle w:val="Heading2"/>
      </w:pPr>
      <w:r>
        <w:rPr>
          <w:lang w:val="pt-BR" w:eastAsia="pt-BR"/>
        </w:rPr>
        <w:t xml:space="preserve">7.3 Pode o Proto-Afro-Asiático ser hebraico?</w:t>
      </w:r>
    </w:p>
    <w:p>
      <w:pPr>
        <w:pStyle w:val="FirstParagraph"/>
      </w:pPr>
      <w:r>
        <w:rPr>
          <w:lang w:val="pt-BR" w:eastAsia="pt-BR"/>
        </w:rPr>
        <w:t xml:space="preserve">Não há evidência científica para essa identificação. O hebraico possui inovações cananeias e semíticas noroestes que não pertencem aos outros ramos. Egípcio e chádico, por exemplo, não exibem uma passagem histórica por um estágio hebraico reconstruível. Para identificar PAA com hebraico seria necessário demonstrar que as formas ancestrais de todos os ramos derivam de morfologia e fonologia hebraicas, com correspondências regulares e cronologia compatível. Nenhum programa de pesquisa reconhecido produziu tal demonstração.</w:t>
      </w:r>
    </w:p>
    <w:p>
      <w:pPr>
        <w:pStyle w:val="BodyText"/>
      </w:pPr>
      <w:r>
        <w:rPr>
          <w:lang w:val="pt-BR" w:eastAsia="pt-BR"/>
        </w:rPr>
        <w:t xml:space="preserve">Em termos de árvore, hebraico está em uma ponta recente: PAA → PS → semítico ocidental/central → noroeste → cananeu → hebraico. Mesmo que nós intermediários sejam reconfigurados, a direção geral é sustentada por inovações compartilhadas e registros independentes.</w:t>
      </w:r>
    </w:p>
    <w:bookmarkEnd w:id="56"/>
    <w:bookmarkEnd w:id="57"/>
    <w:bookmarkStart w:id="62" w:name="X643a4781a96c133ab209abab7b33a5b4d098343"/>
    <w:p>
      <w:bookmarkStart w:id="509" w:name="sec_010"/>
      <w:pPr>
        <w:pStyle w:val="Heading1"/>
        <w:pBdr>
          <w:bottom w:val="single" w:sz="12" w:space="6" w:color="C4942F"/>
        </w:pBdr>
      </w:pPr>
      <w:r>
        <w:rPr>
          <w:lang w:val="pt-BR" w:eastAsia="pt-BR"/>
        </w:rPr>
        <w:t xml:space="preserve">8. Evidência epigráfica: quando existe hebraico propriamente dito?</w:t>
      </w:r>
      <w:bookmarkEnd w:id="509"/>
    </w:p>
    <w:bookmarkStart w:id="58" w:name="escrita-não-é-língua"/>
    <w:p>
      <w:pPr>
        <w:pStyle w:val="Heading2"/>
      </w:pPr>
      <w:r>
        <w:rPr>
          <w:lang w:val="pt-BR" w:eastAsia="pt-BR"/>
        </w:rPr>
        <w:t xml:space="preserve">8.1 Escrita não é língua</w:t>
      </w:r>
    </w:p>
    <w:p>
      <w:pPr>
        <w:pStyle w:val="FirstParagraph"/>
      </w:pPr>
      <w:r>
        <w:rPr>
          <w:lang w:val="pt-BR" w:eastAsia="pt-BR"/>
        </w:rPr>
        <w:t xml:space="preserve">“</w:t>
      </w:r>
      <w:r>
        <w:rPr>
          <w:lang w:val="pt-BR" w:eastAsia="pt-BR"/>
        </w:rPr>
        <w:t xml:space="preserve">Proto-Sinaítico</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Proto-Cananeu</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fenício</w:t>
      </w:r>
      <w:r>
        <w:rPr>
          <w:lang w:val="pt-BR" w:eastAsia="pt-BR"/>
        </w:rPr>
        <w:t xml:space="preserve">”</w:t>
      </w:r>
      <w:r>
        <w:rPr>
          <w:lang w:val="pt-BR" w:eastAsia="pt-BR"/>
        </w:rPr>
        <w:t xml:space="preserve"> </w:t>
      </w:r>
      <w:r>
        <w:rPr>
          <w:lang w:val="pt-BR" w:eastAsia="pt-BR"/>
        </w:rPr>
        <w:t xml:space="preserve">e</w:t>
      </w:r>
      <w:r>
        <w:rPr>
          <w:lang w:val="pt-BR" w:eastAsia="pt-BR"/>
        </w:rPr>
        <w:t xml:space="preserve"> </w:t>
      </w:r>
      <w:r>
        <w:rPr>
          <w:lang w:val="pt-BR" w:eastAsia="pt-BR"/>
        </w:rPr>
        <w:t xml:space="preserve">“</w:t>
      </w:r>
      <w:r>
        <w:rPr>
          <w:lang w:val="pt-BR" w:eastAsia="pt-BR"/>
        </w:rPr>
        <w:t xml:space="preserve">paleo-hebraico</w:t>
      </w:r>
      <w:r>
        <w:rPr>
          <w:lang w:val="pt-BR" w:eastAsia="pt-BR"/>
        </w:rPr>
        <w:t xml:space="preserve">”</w:t>
      </w:r>
      <w:r>
        <w:rPr>
          <w:lang w:val="pt-BR" w:eastAsia="pt-BR"/>
        </w:rPr>
        <w:t xml:space="preserve"> </w:t>
      </w:r>
      <w:r>
        <w:rPr>
          <w:lang w:val="pt-BR" w:eastAsia="pt-BR"/>
        </w:rPr>
        <w:t xml:space="preserve">podem designar fases ou estilos de escrita, enquanto</w:t>
      </w:r>
      <w:r>
        <w:rPr>
          <w:lang w:val="pt-BR" w:eastAsia="pt-BR"/>
        </w:rPr>
        <w:t xml:space="preserve"> </w:t>
      </w:r>
      <w:r>
        <w:rPr>
          <w:lang w:val="pt-BR" w:eastAsia="pt-BR"/>
        </w:rPr>
        <w:t xml:space="preserve">“</w:t>
      </w:r>
      <w:r>
        <w:rPr>
          <w:lang w:val="pt-BR" w:eastAsia="pt-BR"/>
        </w:rPr>
        <w:t xml:space="preserve">cananeu</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fenício</w:t>
      </w:r>
      <w:r>
        <w:rPr>
          <w:lang w:val="pt-BR" w:eastAsia="pt-BR"/>
        </w:rPr>
        <w:t xml:space="preserve">”</w:t>
      </w:r>
      <w:r>
        <w:rPr>
          <w:lang w:val="pt-BR" w:eastAsia="pt-BR"/>
        </w:rPr>
        <w:t xml:space="preserve"> </w:t>
      </w:r>
      <w:r>
        <w:rPr>
          <w:lang w:val="pt-BR" w:eastAsia="pt-BR"/>
        </w:rPr>
        <w:t xml:space="preserve">e</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também designam línguas. Os alfabetos lineares do Levante compartilham ascendência gráfica. Um escriba pode usar uma tradição gráfica associada a outra região, e letras quase idênticas podem registrar dialetos distintos. A identificação linguística depende de palavras, morfologia e sintaxe, não apenas do formato das letras.</w:t>
      </w:r>
    </w:p>
    <w:bookmarkEnd w:id="58"/>
    <w:bookmarkStart w:id="59" w:name="inscrições-principais"/>
    <w:p>
      <w:pPr>
        <w:pStyle w:val="Heading2"/>
      </w:pPr>
      <w:r>
        <w:rPr>
          <w:lang w:val="pt-BR" w:eastAsia="pt-BR"/>
        </w:rPr>
        <w:t xml:space="preserve">8.2 Inscrições principais</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Documento</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Data aproximada</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Escrita/língua proposta</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Avaliação cautelosa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Calendário de Gezer</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 X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Alfabeto linear antigo; hebraico, fenício ou cananeu genérico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 língua é disputada; vocabulário e gramática não excluem fenício/cananeu. Não deve ser chamado de “primeiro hebraico” sem ressalva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Óstraco de Khirbet Qeiyafa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~fim do XI/início do X a.C.</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Escrita cananeia antiga; língua proposta como hebraico, cananeu ou outra variedade noroeste</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Leitura e classificação permanecem controvertidas; corpus curto e danificado</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Inscrições de Tel Zayit/Izbet Sartah</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XII–X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Abecedários/alfabeto antigo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Informam história da escrita, mas quase nada provam sobre uma língua hebraica distinta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Estela de Mesa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~meados do século IX a.C.</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Escrita regional; moabita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Língua cananeia próxima, mas não hebraico; prova diversidade cananeia paralela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Óstracos de Samaria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~primeira metade do século VIII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Paleo-hebraico; hebraico israelita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Registros administrativos firmes; exibem variedade setentrional</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Inscrição de Siloé</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~fim do século VIII a.C.</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Paleo-hebraico; hebraico judaíta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Um dos textos hebraicos monumentais mais claros; narra encontro de equipes em túnel</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Inscrições de Kuntillet ʿAjrud</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 VIII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Escritas e variedades regionais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Mistura de dados linguísticos e religiosos; classificação dialetal exige cautela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Óstracos de Laquis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~fim do século VII/início do VI a.C.</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Paleo-hebraico; hebraico judaíta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Cartas e comunicações militares em hebraico inequívoco</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Amuletos de Ketef Hinnom</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VII–VI a.C.</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Paleo-hebraico; fórmula próxima a Números 6</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Importantes para língua e tradição textual; datação paleográfica/arqueológica é discutida em margens, não em milênios</w:t>
            </w:r>
          </w:p>
        </w:tc>
      </w:tr>
    </w:tbl>
    <w:bookmarkEnd w:id="59"/>
    <w:bookmarkStart w:id="60" w:name="o-que-a-disputa-significa"/>
    <w:p>
      <w:pPr>
        <w:pStyle w:val="Heading2"/>
      </w:pPr>
      <w:r>
        <w:rPr>
          <w:lang w:val="pt-BR" w:eastAsia="pt-BR"/>
        </w:rPr>
        <w:t xml:space="preserve">8.3 O que a disputa significa</w:t>
      </w:r>
    </w:p>
    <w:p>
      <w:pPr>
        <w:pStyle w:val="FirstParagraph"/>
      </w:pPr>
      <w:r>
        <w:rPr>
          <w:lang w:val="pt-BR" w:eastAsia="pt-BR"/>
        </w:rPr>
        <w:t xml:space="preserve">A cautela sobre Gezer e Qeiyafa não implica que</w:t>
      </w:r>
      <w:r>
        <w:rPr>
          <w:lang w:val="pt-BR" w:eastAsia="pt-BR"/>
        </w:rPr>
        <w:t xml:space="preserve"> </w:t>
      </w:r>
      <w:r>
        <w:rPr>
          <w:lang w:val="pt-BR" w:eastAsia="pt-BR"/>
        </w:rPr>
        <w:t xml:space="preserve">“</w:t>
      </w:r>
      <w:r>
        <w:rPr>
          <w:lang w:val="pt-BR" w:eastAsia="pt-BR"/>
        </w:rPr>
        <w:t xml:space="preserve">não havia hebraico</w:t>
      </w:r>
      <w:r>
        <w:rPr>
          <w:lang w:val="pt-BR" w:eastAsia="pt-BR"/>
        </w:rPr>
        <w:t xml:space="preserve">”</w:t>
      </w:r>
      <w:r>
        <w:rPr>
          <w:lang w:val="pt-BR" w:eastAsia="pt-BR"/>
        </w:rPr>
        <w:t xml:space="preserve"> </w:t>
      </w:r>
      <w:r>
        <w:rPr>
          <w:lang w:val="pt-BR" w:eastAsia="pt-BR"/>
        </w:rPr>
        <w:t xml:space="preserve">no século X a.C. Línguas faladas precedem seus primeiros registros. Significa apenas que uma inscrição curta num contínuo dialetal não fornece diagnósticos suficientes para um rótulo estreito. A formulação segura é: candidatos a hebraico no século X; documentação especificamente hebraica progressivamente mais firme nos séculos IX–VIII; corpora substanciais nos séculos VIII–VI (Rollston 2010; Finkelstein e Sass 2013; Wilson-Wright 2019).</w:t>
      </w:r>
    </w:p>
    <w:bookmarkEnd w:id="60"/>
    <w:bookmarkStart w:id="61" w:name="X37a6c94b40a8ace0b799b79ccc451aea1381bda"/>
    <w:p>
      <w:pPr>
        <w:pStyle w:val="Heading2"/>
      </w:pPr>
      <w:r>
        <w:rPr>
          <w:lang w:val="pt-BR" w:eastAsia="pt-BR"/>
        </w:rPr>
        <w:t xml:space="preserve">8.4 Proto-Cananeu, cananeu antigo, fenício, paleo-hebraico e hebraico bíblico</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Rótulo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Tipo principal</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Uso responsável</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Proto-Cananeu / alfabético antigo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Sobretudo paleográfico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Escritas alfabéticas iniciais do II milênio; não equivale a “hebraico primitivo”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Cananeu antigo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Linguístico, amplo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Variedades do Levante antes de dialetos da Idade do Ferro se tornarem nítidos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Fenício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Linguístico e paleográfico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Língua cananeia costeira e tradição gráfica influente; não sinônimo de qualquer alfabeto antigo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Paleo-hebraico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Sobretudo paleográfico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Variante regional usada em Israel/Judá; pode registrar hebraico, mas a escrita sozinha não decide a língua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bíblico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Linguístico/corpus literário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Variedades do texto bíblico; composição, edição, cópia e vocalização pertencem a épocas diferentes</w:t>
            </w:r>
          </w:p>
        </w:tc>
      </w:tr>
    </w:tbl>
    <w:bookmarkEnd w:id="61"/>
    <w:bookmarkEnd w:id="62"/>
    <w:bookmarkStart w:id="65" w:name="X66eaee7e82b3e99fe703e5437fd11ea29fa8375"/>
    <w:p>
      <w:bookmarkStart w:id="510" w:name="sec_011"/>
      <w:pPr>
        <w:pStyle w:val="Heading1"/>
        <w:pBdr>
          <w:bottom w:val="single" w:sz="12" w:space="6" w:color="C4942F"/>
        </w:pBdr>
      </w:pPr>
      <w:r>
        <w:rPr>
          <w:lang w:val="pt-BR" w:eastAsia="pt-BR"/>
        </w:rPr>
        <w:t xml:space="preserve">9. Línguas documentadas anteriores ao hebraico</w:t>
      </w:r>
      <w:bookmarkEnd w:id="510"/>
    </w:p>
    <w:bookmarkStart w:id="63" w:name="cronologia-comparativa"/>
    <w:p>
      <w:pPr>
        <w:pStyle w:val="Heading2"/>
      </w:pPr>
      <w:r>
        <w:rPr>
          <w:lang w:val="pt-BR" w:eastAsia="pt-BR"/>
        </w:rPr>
        <w:t xml:space="preserve">9.1 Cronologia comparativa</w:t>
      </w:r>
    </w:p>
    <w:p>
      <w:pPr>
        <w:pStyle w:val="FirstParagraph"/>
      </w:pPr>
      <w:r>
        <w:rPr>
          <w:lang w:val="pt-BR" w:eastAsia="pt-BR"/>
        </w:rPr>
        <w:t xml:space="preserve">A tabela usa</w:t>
      </w:r>
      <w:r>
        <w:rPr>
          <w:lang w:val="pt-BR" w:eastAsia="pt-BR"/>
        </w:rPr>
        <w:t xml:space="preserve"> </w:t>
      </w:r>
      <w:r>
        <w:rPr>
          <w:lang w:val="pt-BR" w:eastAsia="pt-BR"/>
        </w:rPr>
        <w:t xml:space="preserve">“</w:t>
      </w:r>
      <w:r>
        <w:rPr>
          <w:lang w:val="pt-BR" w:eastAsia="pt-BR"/>
        </w:rPr>
        <w:t xml:space="preserve">primeiro registro</w:t>
      </w:r>
      <w:r>
        <w:rPr>
          <w:lang w:val="pt-BR" w:eastAsia="pt-BR"/>
        </w:rPr>
        <w:t xml:space="preserve">”</w:t>
      </w:r>
      <w:r>
        <w:rPr>
          <w:lang w:val="pt-BR" w:eastAsia="pt-BR"/>
        </w:rPr>
        <w:t xml:space="preserve"> </w:t>
      </w:r>
      <w:r>
        <w:rPr>
          <w:lang w:val="pt-BR" w:eastAsia="pt-BR"/>
        </w:rPr>
        <w:t xml:space="preserve">de maneira qualificada. Sistemas muito antigos podem ser parcialmente logográficos e difíceis de atribuir a uma língua; nomes próprios podem preceder textos contínuos; e a data arqueológica de uma peça pode ter margem de décadas ou séculos. Ainda assim, a ordem geral é segura.</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1606"/>
        <w:gridCol w:w="1606"/>
        <w:gridCol w:w="1606"/>
        <w:gridCol w:w="1606"/>
        <w:gridCol w:w="1606"/>
        <w:gridCol w:w="1606"/>
      </w:tblGrid>
      <w:tr>
        <w:trPr>
          <w:tblHeader w:val="true"/>
          <w:cantSplit/>
        </w:trPr>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Língua</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Família</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Primeiro registro aproximado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Tipo de documentação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Relação com o hebraico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Certeza/observação</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Sumério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Isolada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proto-cuneiforme ~3300–3200 a.C.; atribuição linguística plena mais segura no início do III milênio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Contas administrativas, depois textos lexicais e literários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Nenhuma relação genética demonstrada; contato com acadiano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Alta para a escrita; moderada para a leitura linguística dos sinais mais arcaicos</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Egípcio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Afro-Asiático, ramo egípcio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~3250–3100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Etiquetas, inscrições reais e funerárias; depois textos contínuos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Parente muito remoto dentro do Afro-Asiático, não descendente do hebraico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 para a ordem cronológica; leituras dos itens mais antigos são limitadas</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Acadiano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oriental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nomes/glosas ~2600–2500 a.C.; corpus amplo ~2350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Cuneiforme silábico e logográfico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distante, separada antes do hebraico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Muito alta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Eblaíta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oriental ou muito próximo dele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~séculos XXIV–XXIII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Arquivos de Ebla em cuneiforme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Parente semítico antigo; classificação exata discutida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Amorita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noroeste ou variedade semítica ocidental antiga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nomes e palavras ~fim do III/início do II milênio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Principalmente nomes pessoais em textos acadianos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Parente distante; corpus insuficiente para uma gramática completa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Moderada; “língua” inferida onomasticamente</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Elamita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Isolada/não classificada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antigo elamita ~século XXIII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Cuneiforme; documentos administrativos e reais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relação genética demonstrada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 proto-elamita anterior continua indecifrado e não deve ser contado como elamita lido</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Hurriano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Hurro-urartiano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nomes ~fim do III milênio; textos ~séculos XVII–XIV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Cartas, rituais, tratados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Não geneticamente relacionado; contato regional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Alta para textos contínuos; anterioridade onomástica qualificada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Hitita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Indo-Europeu, anatólio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tabuletas ~século XVII a.C.; material onomástico anterior</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Cuneiforme em arquivos da Anatólia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relação genética; contatos e empréstimos são possíveis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Muito alta; mais antiga língua indo-europeia amplamente documentada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Grego micênico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Indo-Europeu, helênico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~1450–1200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Linear B, sobretudo inventários palacianos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Nenhuma relação genética; contato mediterrânico não implica filiação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Muito alta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Ugarítico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noroeste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~séculos XIV–XIII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Alfabeto cuneiforme; mitos, cartas, administração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Língua-irmã do domínio noroeste, não hebraico arcaico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Muito alta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Cananeu de Amarna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noroeste/cananeu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~século XIV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Glosas e interferência cananeia em cartas acadianas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Antecedente regional, não ancestral linear exclusivo do hebraico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Alta; natureza mista dos textos exige análise</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Chinês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Sino-tibetano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 XIII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Inscrições oraculares em ossos e carapaças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relação genética demonstrada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Muito alta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Fenício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noroeste, 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inscrições diagnósticas ~séculos XI–X a.C., com datas individuais debatidas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Monumentos, dedicatórias, comércio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cananeia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Alta para o conjunto; datas de inscrições específicas variam</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Aramaico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noroeste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~séculos X–IX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Inscrições reais e monumentais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Língua-irmã noroeste, não cananeia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Moabita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noroeste, 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~século IX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Estela de Mesa e inscrições menores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cananeia muito próxima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Muito alta para Mesa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Hebraico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noroeste, cananeu</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candidatos ~século X; inequívoco/corpus crescente ~séculos IX–VIII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Inscrições, óstracos, cartas, selos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Objeto do teste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 para VIII; moderada/baixa para atribuições específicas do X</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Árabe antigo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central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 milênio a.C.; definições e corpora variam</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Inscrições em alfabetos norte-arábicos e nabateus, nomes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central, não descendente do hebraico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Alta para a existência; fronteira “árabe” versus norte-arábico é discutida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Sul-arábico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posição ocidental/meridional debatida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sobretudo ~séculos VIII–VII a.C.; propostas anteriores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Inscrições monumentais e administrativas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Parente semítico distante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Alta para o corpus principal; datas altas são debatidas</w:t>
            </w:r>
          </w:p>
        </w:tc>
      </w:tr>
    </w:tbl>
    <w:bookmarkEnd w:id="63"/>
    <w:bookmarkStart w:id="64" w:name="Xdc571c493e14236055c946ed5533f9bf1927511"/>
    <w:p>
      <w:pPr>
        <w:pStyle w:val="Heading2"/>
      </w:pPr>
      <w:r>
        <w:rPr>
          <w:lang w:val="pt-BR" w:eastAsia="pt-BR"/>
        </w:rPr>
        <w:t xml:space="preserve">9.2 O que essa cronologia prova — e o que não prova</w:t>
      </w:r>
    </w:p>
    <w:p>
      <w:pPr>
        <w:pStyle w:val="FirstParagraph"/>
      </w:pPr>
      <w:r>
        <w:rPr>
          <w:lang w:val="pt-BR" w:eastAsia="pt-BR"/>
        </w:rPr>
        <w:t xml:space="preserve">A cronologia prova que hebraico não é a língua escrita mais antiga conhecida e que o acadiano está documentado muito antes dele. Ela não prova que sumério ou egípcio foram as primeiras línguas faladas. A escrita surge em sociedades complexas específicas; milhares de línguas sem escrita coexistiram com os primeiros arquivos. O registro preserva materiais duráveis e instituições de escribas, não uma amostra neutra de toda a humanidade.</w:t>
      </w:r>
    </w:p>
    <w:p>
      <w:pPr>
        <w:pStyle w:val="BodyText"/>
      </w:pPr>
      <w:r>
        <w:rPr>
          <w:lang w:val="pt-BR" w:eastAsia="pt-BR"/>
        </w:rPr>
        <w:t xml:space="preserve">Também não basta dizer:</w:t>
      </w:r>
      <w:r>
        <w:rPr>
          <w:lang w:val="pt-BR" w:eastAsia="pt-BR"/>
        </w:rPr>
        <w:t xml:space="preserve"> </w:t>
      </w:r>
      <w:r>
        <w:rPr>
          <w:lang w:val="pt-BR" w:eastAsia="pt-BR"/>
        </w:rPr>
        <w:t xml:space="preserve">“</w:t>
      </w:r>
      <w:r>
        <w:rPr>
          <w:lang w:val="pt-BR" w:eastAsia="pt-BR"/>
        </w:rPr>
        <w:t xml:space="preserve">acadiano é mais antigo no papel, logo não pode descender do hebraico</w:t>
      </w:r>
      <w:r>
        <w:rPr>
          <w:lang w:val="pt-BR" w:eastAsia="pt-BR"/>
        </w:rPr>
        <w:t xml:space="preserve">”</w:t>
      </w:r>
      <w:r>
        <w:rPr>
          <w:lang w:val="pt-BR" w:eastAsia="pt-BR"/>
        </w:rPr>
        <w:t xml:space="preserve">. Uma língua ancestral pode ser documentada depois de uma filha se os seus primeiros textos se perderem. O argumento completo combina cronologia com estrutura: o acadiano já exibe inovações próprias, preserva morfologia proto-semítica e pertence a um ramo separado. Não há estágio hebraico intermediário, nem mudanças regulares que convertam hebraico em acadiano.</w:t>
      </w:r>
    </w:p>
    <w:bookmarkEnd w:id="64"/>
    <w:bookmarkEnd w:id="65"/>
    <w:bookmarkStart w:id="70" w:name="hebraico-e-outras-línguas-cananeias"/>
    <w:p>
      <w:bookmarkStart w:id="511" w:name="sec_012"/>
      <w:pPr>
        <w:pStyle w:val="Heading1"/>
        <w:pBdr>
          <w:bottom w:val="single" w:sz="12" w:space="6" w:color="C4942F"/>
        </w:pBdr>
      </w:pPr>
      <w:r>
        <w:rPr>
          <w:lang w:val="pt-BR" w:eastAsia="pt-BR"/>
        </w:rPr>
        <w:t xml:space="preserve">10. Hebraico e outras línguas cananeias</w:t>
      </w:r>
      <w:bookmarkEnd w:id="511"/>
    </w:p>
    <w:bookmarkStart w:id="66" w:name="o-grupo-cananeu"/>
    <w:p>
      <w:pPr>
        <w:pStyle w:val="Heading2"/>
      </w:pPr>
      <w:r>
        <w:rPr>
          <w:lang w:val="pt-BR" w:eastAsia="pt-BR"/>
        </w:rPr>
        <w:t xml:space="preserve">10.1 O grupo cananeu</w:t>
      </w:r>
    </w:p>
    <w:p>
      <w:pPr>
        <w:pStyle w:val="FirstParagraph"/>
      </w:pPr>
      <w:r>
        <w:rPr>
          <w:lang w:val="pt-BR" w:eastAsia="pt-BR"/>
        </w:rPr>
        <w:t xml:space="preserve">“</w:t>
      </w:r>
      <w:r>
        <w:rPr>
          <w:lang w:val="pt-BR" w:eastAsia="pt-BR"/>
        </w:rPr>
        <w:t xml:space="preserve">Cananeu</w:t>
      </w:r>
      <w:r>
        <w:rPr>
          <w:lang w:val="pt-BR" w:eastAsia="pt-BR"/>
        </w:rPr>
        <w:t xml:space="preserve">”</w:t>
      </w:r>
      <w:r>
        <w:rPr>
          <w:lang w:val="pt-BR" w:eastAsia="pt-BR"/>
        </w:rPr>
        <w:t xml:space="preserve"> </w:t>
      </w:r>
      <w:r>
        <w:rPr>
          <w:lang w:val="pt-BR" w:eastAsia="pt-BR"/>
        </w:rPr>
        <w:t xml:space="preserve">não é uma única língua uniforme. É um conjunto de variedades próximas cujas fronteiras se relacionam a geografia, política e redes de escribas. Hebraico e fenício possuem os maiores corpora; moabita é claro, mas menor; amonita e edomita são conhecidos por material reduzido, sobretudo inscrições curtas, selos e nomes. A escassez exige evitar descrições excessivamente precisas.</w:t>
      </w:r>
    </w:p>
    <w:bookmarkEnd w:id="66"/>
    <w:bookmarkStart w:id="67" w:name="características-compartilhadas"/>
    <w:p>
      <w:pPr>
        <w:pStyle w:val="Heading2"/>
      </w:pPr>
      <w:r>
        <w:rPr>
          <w:lang w:val="pt-BR" w:eastAsia="pt-BR"/>
        </w:rPr>
        <w:t xml:space="preserve">10.2 Características compartilhadas</w:t>
      </w:r>
    </w:p>
    <w:p>
      <w:pPr>
        <w:pStyle w:val="FirstParagraph"/>
      </w:pPr>
      <w:r>
        <w:rPr>
          <w:lang w:val="pt-BR" w:eastAsia="pt-BR"/>
        </w:rPr>
        <w:t xml:space="preserve">As variedades cananeias mostram, em graus e contextos diferentes:</w:t>
      </w:r>
    </w:p>
    <w:p>
      <w:pPr>
        <w:numPr>
          <w:ilvl w:val="0"/>
          <w:numId w:val="1004"/>
        </w:numPr>
        <w:pStyle w:val="Compact"/>
      </w:pPr>
      <w:r>
        <w:rPr>
          <w:lang w:val="pt-BR" w:eastAsia="pt-BR"/>
        </w:rPr>
        <w:t xml:space="preserve">a chamada mudança cananeia, pela qual *ā tônico/antigo resulta em ō em ambientes relevantes;</w:t>
      </w:r>
    </w:p>
    <w:p>
      <w:pPr>
        <w:numPr>
          <w:ilvl w:val="0"/>
          <w:numId w:val="1004"/>
        </w:numPr>
        <w:pStyle w:val="Compact"/>
      </w:pPr>
      <w:r>
        <w:rPr>
          <w:lang w:val="pt-BR" w:eastAsia="pt-BR"/>
        </w:rPr>
        <w:t xml:space="preserve">artigo definido prefixado</w:t>
      </w:r>
      <w:r>
        <w:rPr>
          <w:lang w:val="pt-BR" w:eastAsia="pt-BR"/>
        </w:rPr>
        <w:t xml:space="preserve"> </w:t>
      </w:r>
      <w:r>
        <w:rPr>
          <w:iCs/>
          <w:i/>
          <w:lang w:val="pt-BR" w:eastAsia="pt-BR"/>
        </w:rPr>
        <w:t xml:space="preserve">h-</w:t>
      </w:r>
      <w:r>
        <w:rPr>
          <w:lang w:val="pt-BR" w:eastAsia="pt-BR"/>
        </w:rPr>
        <w:t xml:space="preserve"> </w:t>
      </w:r>
      <w:r>
        <w:rPr>
          <w:lang w:val="pt-BR" w:eastAsia="pt-BR"/>
        </w:rPr>
        <w:t xml:space="preserve">em várias variedades;</w:t>
      </w:r>
    </w:p>
    <w:p>
      <w:pPr>
        <w:numPr>
          <w:ilvl w:val="0"/>
          <w:numId w:val="1004"/>
        </w:numPr>
        <w:pStyle w:val="Compact"/>
      </w:pPr>
      <w:r>
        <w:rPr>
          <w:lang w:val="pt-BR" w:eastAsia="pt-BR"/>
        </w:rPr>
        <w:t xml:space="preserve">desenvolvimento de pronomes e formas verbais comuns;</w:t>
      </w:r>
    </w:p>
    <w:p>
      <w:pPr>
        <w:numPr>
          <w:ilvl w:val="0"/>
          <w:numId w:val="1004"/>
        </w:numPr>
        <w:pStyle w:val="Compact"/>
      </w:pPr>
      <w:r>
        <w:rPr>
          <w:lang w:val="pt-BR" w:eastAsia="pt-BR"/>
        </w:rPr>
        <w:t xml:space="preserve">vocabulário regional herdado e padrões ortográficos próximos;</w:t>
      </w:r>
    </w:p>
    <w:p>
      <w:pPr>
        <w:numPr>
          <w:ilvl w:val="0"/>
          <w:numId w:val="1004"/>
        </w:numPr>
        <w:pStyle w:val="Compact"/>
      </w:pPr>
      <w:r>
        <w:rPr>
          <w:lang w:val="pt-BR" w:eastAsia="pt-BR"/>
        </w:rPr>
        <w:t xml:space="preserve">fusões de consoantes proto-semíticas que contrastam com preservações em árabe/ugarítico.</w:t>
      </w:r>
    </w:p>
    <w:p>
      <w:pPr>
        <w:pStyle w:val="FirstParagraph"/>
      </w:pPr>
      <w:r>
        <w:rPr>
          <w:lang w:val="pt-BR" w:eastAsia="pt-BR"/>
        </w:rPr>
        <w:t xml:space="preserve">A mudança cananeia é ilustrada didaticamente por hebraico</w:t>
      </w:r>
      <w:r>
        <w:rPr>
          <w:lang w:val="pt-BR" w:eastAsia="pt-BR"/>
        </w:rPr>
        <w:t xml:space="preserve"> </w:t>
      </w:r>
      <w:r>
        <w:rPr>
          <w:iCs/>
          <w:i/>
          <w:lang w:val="pt-BR" w:eastAsia="pt-BR"/>
        </w:rPr>
        <w:t xml:space="preserve">šālōm</w:t>
      </w:r>
      <w:r>
        <w:rPr>
          <w:lang w:val="pt-BR" w:eastAsia="pt-BR"/>
        </w:rPr>
        <w:t xml:space="preserve"> </w:t>
      </w:r>
      <w:r>
        <w:rPr>
          <w:lang w:val="pt-BR" w:eastAsia="pt-BR"/>
        </w:rPr>
        <w:t xml:space="preserve">ao lado de árabe</w:t>
      </w:r>
      <w:r>
        <w:rPr>
          <w:lang w:val="pt-BR" w:eastAsia="pt-BR"/>
        </w:rPr>
        <w:t xml:space="preserve"> </w:t>
      </w:r>
      <w:r>
        <w:rPr>
          <w:iCs/>
          <w:i/>
          <w:lang w:val="pt-BR" w:eastAsia="pt-BR"/>
        </w:rPr>
        <w:t xml:space="preserve">salām</w:t>
      </w:r>
      <w:r>
        <w:rPr>
          <w:lang w:val="pt-BR" w:eastAsia="pt-BR"/>
        </w:rPr>
        <w:t xml:space="preserve">, mas o fenômeno não deve ser reduzido a uma regra sem condições. Cronologia relativa, acento, qualidade vocálica e diferenças entre fenício, hebraico e glosas de Amarna são debatidos (Pat-El 2016; Suchard 2019). Ugarítico, embora geograficamente próximo e semítico noroeste, não apresenta a mesma mudança como inovação cananeia.</w:t>
      </w:r>
    </w:p>
    <w:bookmarkEnd w:id="67"/>
    <w:bookmarkStart w:id="68" w:name="comparação-de-perfis"/>
    <w:p>
      <w:pPr>
        <w:pStyle w:val="Heading2"/>
      </w:pPr>
      <w:r>
        <w:rPr>
          <w:lang w:val="pt-BR" w:eastAsia="pt-BR"/>
        </w:rPr>
        <w:t xml:space="preserve">10.3 Comparação de perfis</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Variedade</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Traços compartilhados</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Inovações/particularidades</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Qualidade do corpus</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Mudança cananeia, artigo h-, vocabulário e morfologia cananeus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Desenvolvimentos israelitas/judaítas, tradição literária bíblica, mudanças vocálicas próprias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Extenso, mas heterogêneo no tempo</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Fenício/púnico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Mudança cananeia e outras inovações do grupo</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Reduções vocálicas, tradição gráfica e expansão mediterrânica próprias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Amplo, embora muitas inscrições sejam formulares</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Moabita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Proximidade grande com hebraico; artigo e morfologia cananeia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Formas como plural masculino em -n em contextos e escolhas lexicais próprias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Pequeno; Estela de Mesa é central</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Amonita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Características cananeias e onomástica regional</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Diagnósticos limitados; algumas formas distintas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Muito pequeno</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Edomita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Elementos cananeus e nomes próprios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Classificação fina difícil; contato aramaico/árabe posterior</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pequeno</w:t>
            </w:r>
          </w:p>
        </w:tc>
      </w:tr>
    </w:tbl>
    <w:bookmarkEnd w:id="68"/>
    <w:bookmarkStart w:id="69" w:name="qual-modelo-explica-melhor"/>
    <w:p>
      <w:pPr>
        <w:pStyle w:val="Heading2"/>
      </w:pPr>
      <w:r>
        <w:rPr>
          <w:lang w:val="pt-BR" w:eastAsia="pt-BR"/>
        </w:rPr>
        <w:t xml:space="preserve">10.4 Qual modelo explica melhor?</w:t>
      </w:r>
    </w:p>
    <w:p>
      <w:pPr>
        <w:pStyle w:val="FirstParagraph"/>
      </w:pPr>
      <w:r>
        <w:rPr>
          <w:bCs/>
          <w:b/>
          <w:lang w:val="pt-BR" w:eastAsia="pt-BR"/>
        </w:rPr>
        <w:t xml:space="preserve">Modelo A — todas derivam do hebraico:</w:t>
      </w:r>
      <w:r>
        <w:rPr>
          <w:lang w:val="pt-BR" w:eastAsia="pt-BR"/>
        </w:rPr>
        <w:t xml:space="preserve"> </w:t>
      </w:r>
      <w:r>
        <w:rPr>
          <w:lang w:val="pt-BR" w:eastAsia="pt-BR"/>
        </w:rPr>
        <w:t xml:space="preserve">prevê uma fase hebraica anterior comum e mudanças regulares que transformem essa fase em fenício, moabita, amonita e edomita. O problema é que</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teria de ser redefinido para significar</w:t>
      </w:r>
      <w:r>
        <w:rPr>
          <w:lang w:val="pt-BR" w:eastAsia="pt-BR"/>
        </w:rPr>
        <w:t xml:space="preserve"> </w:t>
      </w:r>
      <w:r>
        <w:rPr>
          <w:lang w:val="pt-BR" w:eastAsia="pt-BR"/>
        </w:rPr>
        <w:t xml:space="preserve">“</w:t>
      </w:r>
      <w:r>
        <w:rPr>
          <w:lang w:val="pt-BR" w:eastAsia="pt-BR"/>
        </w:rPr>
        <w:t xml:space="preserve">Proto-Cananeu</w:t>
      </w:r>
      <w:r>
        <w:rPr>
          <w:lang w:val="pt-BR" w:eastAsia="pt-BR"/>
        </w:rPr>
        <w:t xml:space="preserve">”</w:t>
      </w:r>
      <w:r>
        <w:rPr>
          <w:lang w:val="pt-BR" w:eastAsia="pt-BR"/>
        </w:rPr>
        <w:t xml:space="preserve">, eliminando justamente as inovações que distinguem o hebraico. Não há documentação de exportação linguística israelita que produza todos esses dialetos.</w:t>
      </w:r>
    </w:p>
    <w:p>
      <w:pPr>
        <w:pStyle w:val="BodyText"/>
      </w:pPr>
      <w:r>
        <w:rPr>
          <w:bCs/>
          <w:b/>
          <w:lang w:val="pt-BR" w:eastAsia="pt-BR"/>
        </w:rPr>
        <w:t xml:space="preserve">Modelo B — descendência de ancestrais cananeus compartilhados:</w:t>
      </w:r>
      <w:r>
        <w:rPr>
          <w:lang w:val="pt-BR" w:eastAsia="pt-BR"/>
        </w:rPr>
        <w:t xml:space="preserve"> </w:t>
      </w:r>
      <w:r>
        <w:rPr>
          <w:lang w:val="pt-BR" w:eastAsia="pt-BR"/>
        </w:rPr>
        <w:t xml:space="preserve">prevê inovações comuns, diferenças regionais, sobreposição dialetal e registros paralelos. É exatamente o padrão observado. Portanto, B possui maior poder explicativo e requer menos suposições ad hoc.</w:t>
      </w:r>
    </w:p>
    <w:bookmarkEnd w:id="69"/>
    <w:bookmarkEnd w:id="70"/>
    <w:bookmarkStart w:id="75" w:name="o-acadiano-como-teste-crítico"/>
    <w:p>
      <w:bookmarkStart w:id="512" w:name="sec_013"/>
      <w:pPr>
        <w:pStyle w:val="Heading1"/>
        <w:pBdr>
          <w:bottom w:val="single" w:sz="12" w:space="6" w:color="C4942F"/>
        </w:pBdr>
      </w:pPr>
      <w:r>
        <w:rPr>
          <w:lang w:val="pt-BR" w:eastAsia="pt-BR"/>
        </w:rPr>
        <w:t xml:space="preserve">11. O acadiano como teste crítico</w:t>
      </w:r>
      <w:bookmarkEnd w:id="512"/>
    </w:p>
    <w:bookmarkStart w:id="71" w:name="por-que-o-acadiano-é-decisivo"/>
    <w:p>
      <w:pPr>
        <w:pStyle w:val="Heading2"/>
      </w:pPr>
      <w:r>
        <w:rPr>
          <w:lang w:val="pt-BR" w:eastAsia="pt-BR"/>
        </w:rPr>
        <w:t xml:space="preserve">11.1 Por que o acadiano é decisivo</w:t>
      </w:r>
    </w:p>
    <w:p>
      <w:pPr>
        <w:pStyle w:val="FirstParagraph"/>
      </w:pPr>
      <w:r>
        <w:rPr>
          <w:lang w:val="pt-BR" w:eastAsia="pt-BR"/>
        </w:rPr>
        <w:t xml:space="preserve">O acadiano é semítico e possui documentação substancial anterior ao hebraico. Se o hebraico fosse ancestral de todas as línguas semíticas, o acadiano teria de descender de uma fase hebraica não documentada anterior a ~2600 a.C. Essa fase precisaria ser chamada</w:t>
      </w:r>
      <w:r>
        <w:rPr>
          <w:lang w:val="pt-BR" w:eastAsia="pt-BR"/>
        </w:rPr>
        <w:t xml:space="preserve"> </w:t>
      </w:r>
      <w:r>
        <w:rPr>
          <w:lang w:val="pt-BR" w:eastAsia="pt-BR"/>
        </w:rPr>
        <w:t xml:space="preserve">“</w:t>
      </w:r>
      <w:r>
        <w:rPr>
          <w:lang w:val="pt-BR" w:eastAsia="pt-BR"/>
        </w:rPr>
        <w:t xml:space="preserve">hebraica</w:t>
      </w:r>
      <w:r>
        <w:rPr>
          <w:lang w:val="pt-BR" w:eastAsia="pt-BR"/>
        </w:rPr>
        <w:t xml:space="preserve">”</w:t>
      </w:r>
      <w:r>
        <w:rPr>
          <w:lang w:val="pt-BR" w:eastAsia="pt-BR"/>
        </w:rPr>
        <w:t xml:space="preserve"> </w:t>
      </w:r>
      <w:r>
        <w:rPr>
          <w:lang w:val="pt-BR" w:eastAsia="pt-BR"/>
        </w:rPr>
        <w:t xml:space="preserve">apesar de anteceder em mais de um milênio os traços cananeus que definem o hebraico.</w:t>
      </w:r>
    </w:p>
    <w:bookmarkEnd w:id="71"/>
    <w:bookmarkStart w:id="72" w:name="previsões-da-hipótese-hebraico-acadiano"/>
    <w:p>
      <w:pPr>
        <w:pStyle w:val="Heading2"/>
      </w:pPr>
      <w:r>
        <w:rPr>
          <w:lang w:val="pt-BR" w:eastAsia="pt-BR"/>
        </w:rPr>
        <w:t xml:space="preserve">11.2 Previsões da hipótese hebraico → acadiano</w:t>
      </w:r>
    </w:p>
    <w:p>
      <w:pPr>
        <w:pStyle w:val="FirstParagraph"/>
      </w:pPr>
      <w:r>
        <w:rPr>
          <w:lang w:val="pt-BR" w:eastAsia="pt-BR"/>
        </w:rPr>
        <w:t xml:space="preserve">Seriam necessárias, entre outras, as seguintes mudanças:</w:t>
      </w:r>
    </w:p>
    <w:p>
      <w:pPr>
        <w:numPr>
          <w:ilvl w:val="0"/>
          <w:numId w:val="1005"/>
        </w:numPr>
        <w:pStyle w:val="Compact"/>
      </w:pPr>
      <w:r>
        <w:rPr>
          <w:lang w:val="pt-BR" w:eastAsia="pt-BR"/>
        </w:rPr>
        <w:t xml:space="preserve">recriação de um sistema produtivo de casos nominais que o hebraico conhecido não possui;</w:t>
      </w:r>
    </w:p>
    <w:p>
      <w:pPr>
        <w:numPr>
          <w:ilvl w:val="0"/>
          <w:numId w:val="1005"/>
        </w:numPr>
        <w:pStyle w:val="Compact"/>
      </w:pPr>
      <w:r>
        <w:rPr>
          <w:lang w:val="pt-BR" w:eastAsia="pt-BR"/>
        </w:rPr>
        <w:t xml:space="preserve">recriação ou preservação seletiva de terminações e paradigmas em formas que coincidem com árabe, ugarítico e geʿez;</w:t>
      </w:r>
    </w:p>
    <w:p>
      <w:pPr>
        <w:numPr>
          <w:ilvl w:val="0"/>
          <w:numId w:val="1005"/>
        </w:numPr>
        <w:pStyle w:val="Compact"/>
      </w:pPr>
      <w:r>
        <w:rPr>
          <w:lang w:val="pt-BR" w:eastAsia="pt-BR"/>
        </w:rPr>
        <w:t xml:space="preserve">reversão de inovações cananeias, inclusive resultados vocálicos;</w:t>
      </w:r>
    </w:p>
    <w:p>
      <w:pPr>
        <w:numPr>
          <w:ilvl w:val="0"/>
          <w:numId w:val="1005"/>
        </w:numPr>
        <w:pStyle w:val="Compact"/>
      </w:pPr>
      <w:r>
        <w:rPr>
          <w:lang w:val="pt-BR" w:eastAsia="pt-BR"/>
        </w:rPr>
        <w:t xml:space="preserve">produção de uma ordem verbal e de um sistema verbal acadiano com inovações próprias do semítico oriental;</w:t>
      </w:r>
    </w:p>
    <w:p>
      <w:pPr>
        <w:numPr>
          <w:ilvl w:val="0"/>
          <w:numId w:val="1005"/>
        </w:numPr>
        <w:pStyle w:val="Compact"/>
      </w:pPr>
      <w:r>
        <w:rPr>
          <w:lang w:val="pt-BR" w:eastAsia="pt-BR"/>
        </w:rPr>
        <w:t xml:space="preserve">explicação de por que os documentos mais antigos exibem acadiano já diferenciado, sem fase hebraica intermediária;</w:t>
      </w:r>
    </w:p>
    <w:p>
      <w:pPr>
        <w:numPr>
          <w:ilvl w:val="0"/>
          <w:numId w:val="1005"/>
        </w:numPr>
        <w:pStyle w:val="Compact"/>
      </w:pPr>
      <w:r>
        <w:rPr>
          <w:lang w:val="pt-BR" w:eastAsia="pt-BR"/>
        </w:rPr>
        <w:t xml:space="preserve">múltiplas</w:t>
      </w:r>
      <w:r>
        <w:rPr>
          <w:lang w:val="pt-BR" w:eastAsia="pt-BR"/>
        </w:rPr>
        <w:t xml:space="preserve"> </w:t>
      </w:r>
      <w:r>
        <w:rPr>
          <w:lang w:val="pt-BR" w:eastAsia="pt-BR"/>
        </w:rPr>
        <w:t xml:space="preserve">“</w:t>
      </w:r>
      <w:r>
        <w:rPr>
          <w:lang w:val="pt-BR" w:eastAsia="pt-BR"/>
        </w:rPr>
        <w:t xml:space="preserve">cisões</w:t>
      </w:r>
      <w:r>
        <w:rPr>
          <w:lang w:val="pt-BR" w:eastAsia="pt-BR"/>
        </w:rPr>
        <w:t xml:space="preserve">”</w:t>
      </w:r>
      <w:r>
        <w:rPr>
          <w:lang w:val="pt-BR" w:eastAsia="pt-BR"/>
        </w:rPr>
        <w:t xml:space="preserve"> </w:t>
      </w:r>
      <w:r>
        <w:rPr>
          <w:lang w:val="pt-BR" w:eastAsia="pt-BR"/>
        </w:rPr>
        <w:t xml:space="preserve">de fonemas nas quais o acadiano e outras línguas recuperariam contrastes perdidos no hebraico.</w:t>
      </w:r>
    </w:p>
    <w:p>
      <w:pPr>
        <w:pStyle w:val="FirstParagraph"/>
      </w:pPr>
      <w:r>
        <w:rPr>
          <w:lang w:val="pt-BR" w:eastAsia="pt-BR"/>
        </w:rPr>
        <w:t xml:space="preserve">Mudanças de fusão são comuns: dois sons se tornam um. O inverso — uma língua sem pista interna dividir sistematicamente um som nos mesmos dois ou três sons vistos em parentes independentes — requer condicionamento claro ou empréstimos; não pode ser presumido dezenas de vezes.</w:t>
      </w:r>
    </w:p>
    <w:bookmarkEnd w:id="72"/>
    <w:bookmarkStart w:id="73" w:name="previsões-da-hipótese-de-ancestral-comum"/>
    <w:p>
      <w:pPr>
        <w:pStyle w:val="Heading2"/>
      </w:pPr>
      <w:r>
        <w:rPr>
          <w:lang w:val="pt-BR" w:eastAsia="pt-BR"/>
        </w:rPr>
        <w:t xml:space="preserve">11.3 Previsões da hipótese de ancestral comum</w:t>
      </w:r>
    </w:p>
    <w:p>
      <w:pPr>
        <w:pStyle w:val="FirstParagraph"/>
      </w:pPr>
      <w:r>
        <w:rPr>
          <w:lang w:val="pt-BR" w:eastAsia="pt-BR"/>
        </w:rPr>
        <w:t xml:space="preserve">Se acadiano e hebraico descendem do Proto-Semítico, esperamos:</w:t>
      </w:r>
    </w:p>
    <w:p>
      <w:pPr>
        <w:numPr>
          <w:ilvl w:val="0"/>
          <w:numId w:val="1006"/>
        </w:numPr>
        <w:pStyle w:val="Compact"/>
      </w:pPr>
      <w:r>
        <w:rPr>
          <w:lang w:val="pt-BR" w:eastAsia="pt-BR"/>
        </w:rPr>
        <w:t xml:space="preserve">um núcleo de cognatos com correspondências regulares;</w:t>
      </w:r>
    </w:p>
    <w:p>
      <w:pPr>
        <w:numPr>
          <w:ilvl w:val="0"/>
          <w:numId w:val="1006"/>
        </w:numPr>
        <w:pStyle w:val="Compact"/>
      </w:pPr>
      <w:r>
        <w:rPr>
          <w:lang w:val="pt-BR" w:eastAsia="pt-BR"/>
        </w:rPr>
        <w:t xml:space="preserve">inovações orientais compartilhadas por acadiano/eblaíta;</w:t>
      </w:r>
    </w:p>
    <w:p>
      <w:pPr>
        <w:numPr>
          <w:ilvl w:val="0"/>
          <w:numId w:val="1006"/>
        </w:numPr>
        <w:pStyle w:val="Compact"/>
      </w:pPr>
      <w:r>
        <w:rPr>
          <w:lang w:val="pt-BR" w:eastAsia="pt-BR"/>
        </w:rPr>
        <w:t xml:space="preserve">inovações ocidentais e cananeias ausentes no acadiano;</w:t>
      </w:r>
    </w:p>
    <w:p>
      <w:pPr>
        <w:numPr>
          <w:ilvl w:val="0"/>
          <w:numId w:val="1006"/>
        </w:numPr>
        <w:pStyle w:val="Compact"/>
      </w:pPr>
      <w:r>
        <w:rPr>
          <w:lang w:val="pt-BR" w:eastAsia="pt-BR"/>
        </w:rPr>
        <w:t xml:space="preserve">preservação desigual: acadiano mantém casos, hebraico mantém outros traços;</w:t>
      </w:r>
    </w:p>
    <w:p>
      <w:pPr>
        <w:numPr>
          <w:ilvl w:val="0"/>
          <w:numId w:val="1006"/>
        </w:numPr>
        <w:pStyle w:val="Compact"/>
      </w:pPr>
      <w:r>
        <w:rPr>
          <w:lang w:val="pt-BR" w:eastAsia="pt-BR"/>
        </w:rPr>
        <w:t xml:space="preserve">documentação antiga já divergente, pois a separação ocorreu antes dos textos preservados.</w:t>
      </w:r>
    </w:p>
    <w:p>
      <w:pPr>
        <w:pStyle w:val="FirstParagraph"/>
      </w:pPr>
      <w:r>
        <w:rPr>
          <w:lang w:val="pt-BR" w:eastAsia="pt-BR"/>
        </w:rPr>
        <w:t xml:space="preserve">Essas previsões se confirmam. O princípio da parcimônia não atua sozinho; ele resume o fato de que uma única reconstrução explica simultaneamente centenas de correspondências e paradigmas, enquanto a derivação hebraica exige reversões sem mecanismo e entra em conflito com a estratigrafia documental.</w:t>
      </w:r>
    </w:p>
    <w:bookmarkEnd w:id="73"/>
    <w:bookmarkStart w:id="74" w:name="miniestudo-de-correspondências"/>
    <w:p>
      <w:pPr>
        <w:pStyle w:val="Heading2"/>
      </w:pPr>
      <w:r>
        <w:rPr>
          <w:lang w:val="pt-BR" w:eastAsia="pt-BR"/>
        </w:rPr>
        <w:t xml:space="preserve">11.4 Miniestudo de correspondências</w:t>
      </w:r>
    </w:p>
    <w:p>
      <w:pPr>
        <w:pStyle w:val="FirstParagraph"/>
      </w:pPr>
      <w:r>
        <w:rPr>
          <w:lang w:val="pt-BR" w:eastAsia="pt-BR"/>
        </w:rPr>
        <w:t xml:space="preserve">Considere Proto-Semítico</w:t>
      </w:r>
      <w:r>
        <w:rPr>
          <w:lang w:val="pt-BR" w:eastAsia="pt-BR"/>
        </w:rPr>
        <w:t xml:space="preserve"> </w:t>
      </w:r>
      <w:r>
        <w:rPr>
          <w:iCs/>
          <w:i/>
          <w:lang w:val="pt-BR" w:eastAsia="pt-BR"/>
        </w:rPr>
        <w:t xml:space="preserve">ṯ. Em cognatos, o hebraico apresenta com frequência</w:t>
      </w:r>
      <w:r>
        <w:rPr>
          <w:iCs/>
          <w:i/>
          <w:lang w:val="pt-BR" w:eastAsia="pt-BR"/>
        </w:rPr>
        <w:t xml:space="preserve"> </w:t>
      </w:r>
      <w:r>
        <w:rPr>
          <w:lang w:val="pt-BR" w:eastAsia="pt-BR"/>
        </w:rPr>
        <w:t xml:space="preserve">š</w:t>
      </w:r>
      <w:r>
        <w:rPr>
          <w:iCs/>
          <w:i/>
          <w:lang w:val="pt-BR" w:eastAsia="pt-BR"/>
        </w:rPr>
        <w:t xml:space="preserve">, o acadiano também</w:t>
      </w:r>
      <w:r>
        <w:rPr>
          <w:iCs/>
          <w:i/>
          <w:lang w:val="pt-BR" w:eastAsia="pt-BR"/>
        </w:rPr>
        <w:t xml:space="preserve"> </w:t>
      </w:r>
      <w:r>
        <w:rPr>
          <w:lang w:val="pt-BR" w:eastAsia="pt-BR"/>
        </w:rPr>
        <w:t xml:space="preserve">š</w:t>
      </w:r>
      <w:r>
        <w:rPr>
          <w:iCs/>
          <w:i/>
          <w:lang w:val="pt-BR" w:eastAsia="pt-BR"/>
        </w:rPr>
        <w:t xml:space="preserve">, enquanto árabe e ugarítico preservam uma interdental. A conclusão não é</w:t>
      </w:r>
      <w:r>
        <w:rPr>
          <w:iCs/>
          <w:i/>
          <w:lang w:val="pt-BR" w:eastAsia="pt-BR"/>
        </w:rPr>
        <w:t xml:space="preserve"> </w:t>
      </w:r>
      <w:r>
        <w:rPr>
          <w:iCs/>
          <w:i/>
          <w:lang w:val="pt-BR" w:eastAsia="pt-BR"/>
        </w:rPr>
        <w:t xml:space="preserve">“</w:t>
      </w:r>
      <w:r>
        <w:rPr>
          <w:iCs/>
          <w:i/>
          <w:lang w:val="pt-BR" w:eastAsia="pt-BR"/>
        </w:rPr>
        <w:t xml:space="preserve">árabe transformou š hebraico em ṯ</w:t>
      </w:r>
      <w:r>
        <w:rPr>
          <w:iCs/>
          <w:i/>
          <w:lang w:val="pt-BR" w:eastAsia="pt-BR"/>
        </w:rPr>
        <w:t xml:space="preserve">”</w:t>
      </w:r>
      <w:r>
        <w:rPr>
          <w:iCs/>
          <w:i/>
          <w:lang w:val="pt-BR" w:eastAsia="pt-BR"/>
        </w:rPr>
        <w:t xml:space="preserve">, porque seria preciso saber, palavra por palavra, onde fazer essa transformação. A reconstrução</w:t>
      </w:r>
      <w:r>
        <w:rPr>
          <w:iCs/>
          <w:i/>
          <w:lang w:val="pt-BR" w:eastAsia="pt-BR"/>
        </w:rPr>
        <w:t xml:space="preserve"> </w:t>
      </w:r>
      <w:r>
        <w:rPr>
          <w:lang w:val="pt-BR" w:eastAsia="pt-BR"/>
        </w:rPr>
        <w:t xml:space="preserve">ṯ explica de uma vez a preservação em dois ramos e a fusão regular em outros. O mesmo raciocínio, aplicado a dezenas de fonemas e paradigmas, constrói o ancestral.</w:t>
      </w:r>
    </w:p>
    <w:p>
      <w:pPr>
        <w:pStyle w:val="BodyText"/>
      </w:pPr>
      <w:r>
        <w:rPr>
          <w:lang w:val="pt-BR" w:eastAsia="pt-BR"/>
        </w:rPr>
        <w:t xml:space="preserve">O acadiano também emprega um sistema de casos com terminações comparáveis às do árabe clássico e a vestígios ugaríticos. A distribuição em ramos separados torna a herança de PS mais provável que invenções independentes posteriores a um hebraico sem casos. Essa é evidência positiva de uma camada ancestral acima do hebraico.</w:t>
      </w:r>
    </w:p>
    <w:bookmarkEnd w:id="74"/>
    <w:bookmarkEnd w:id="75"/>
    <w:bookmarkStart w:id="79" w:name="sumério"/>
    <w:p>
      <w:bookmarkStart w:id="513" w:name="sec_014"/>
      <w:pPr>
        <w:pStyle w:val="Heading1"/>
        <w:pBdr>
          <w:bottom w:val="single" w:sz="12" w:space="6" w:color="C4942F"/>
        </w:pBdr>
      </w:pPr>
      <w:r>
        <w:rPr>
          <w:lang w:val="pt-BR" w:eastAsia="pt-BR"/>
        </w:rPr>
        <w:t xml:space="preserve">12. Sumério</w:t>
      </w:r>
      <w:bookmarkEnd w:id="513"/>
    </w:p>
    <w:bookmarkStart w:id="76" w:name="classificação-e-contato"/>
    <w:p>
      <w:pPr>
        <w:pStyle w:val="Heading2"/>
      </w:pPr>
      <w:r>
        <w:rPr>
          <w:lang w:val="pt-BR" w:eastAsia="pt-BR"/>
        </w:rPr>
        <w:t xml:space="preserve">12.1 Classificação e contato</w:t>
      </w:r>
    </w:p>
    <w:p>
      <w:pPr>
        <w:pStyle w:val="FirstParagraph"/>
      </w:pPr>
      <w:r>
        <w:rPr>
          <w:lang w:val="pt-BR" w:eastAsia="pt-BR"/>
        </w:rPr>
        <w:t xml:space="preserve">O sumério é normalmente classificado como língua isolada: não possui parentes genéticos demonstrados por método comparativo.</w:t>
      </w:r>
      <w:r>
        <w:rPr>
          <w:lang w:val="pt-BR" w:eastAsia="pt-BR"/>
        </w:rPr>
        <w:t xml:space="preserve"> </w:t>
      </w:r>
      <w:r>
        <w:rPr>
          <w:lang w:val="pt-BR" w:eastAsia="pt-BR"/>
        </w:rPr>
        <w:t xml:space="preserve">“</w:t>
      </w:r>
      <w:r>
        <w:rPr>
          <w:lang w:val="pt-BR" w:eastAsia="pt-BR"/>
        </w:rPr>
        <w:t xml:space="preserve">Isolada</w:t>
      </w:r>
      <w:r>
        <w:rPr>
          <w:lang w:val="pt-BR" w:eastAsia="pt-BR"/>
        </w:rPr>
        <w:t xml:space="preserve">”</w:t>
      </w:r>
      <w:r>
        <w:rPr>
          <w:lang w:val="pt-BR" w:eastAsia="pt-BR"/>
        </w:rPr>
        <w:t xml:space="preserve"> </w:t>
      </w:r>
      <w:r>
        <w:rPr>
          <w:lang w:val="pt-BR" w:eastAsia="pt-BR"/>
        </w:rPr>
        <w:t xml:space="preserve">não significa que surgiu sem ancestrais; significa que os dados disponíveis não conectam sua linhagem a outra língua conhecida (Campbell 2017). Foi usado na Mesopotâmia e entrou em contato profundo com o acadiano. Bilíngues, escolas de escribas e empréstimos produziram convergências e vocabulário compartilhado.</w:t>
      </w:r>
    </w:p>
    <w:p>
      <w:pPr>
        <w:pStyle w:val="BodyText"/>
      </w:pPr>
      <w:r>
        <w:rPr>
          <w:lang w:val="pt-BR" w:eastAsia="pt-BR"/>
        </w:rPr>
        <w:t xml:space="preserve">O contato sumério-acadiano é um exemplo clássico de por que semelhança não implica descendência. Sumério e acadiano são estruturalmente muito diferentes e geneticamente não relacionados, embora cada um tenha influenciado o outro. Como o hebraico é parente do acadiano, alguns itens mesopotâmicos podem chegar ao hebraico por cadeias de contato; isso não faz o sumério derivar do hebraico nem o hebraico derivar do sumério.</w:t>
      </w:r>
    </w:p>
    <w:bookmarkEnd w:id="76"/>
    <w:bookmarkStart w:id="77" w:name="X75593438a0af1ef22d5abc2aff742c744cad83c"/>
    <w:p>
      <w:pPr>
        <w:pStyle w:val="Heading2"/>
      </w:pPr>
      <w:r>
        <w:rPr>
          <w:lang w:val="pt-BR" w:eastAsia="pt-BR"/>
        </w:rPr>
        <w:t xml:space="preserve">12.2 Teste de alegações</w:t>
      </w:r>
      <w:r>
        <w:rPr>
          <w:lang w:val="pt-BR" w:eastAsia="pt-BR"/>
        </w:rPr>
        <w:t xml:space="preserve"> </w:t>
      </w:r>
      <w:r>
        <w:rPr>
          <w:lang w:val="pt-BR" w:eastAsia="pt-BR"/>
        </w:rPr>
        <w:t xml:space="preserve">“</w:t>
      </w:r>
      <w:r>
        <w:rPr>
          <w:lang w:val="pt-BR" w:eastAsia="pt-BR"/>
        </w:rPr>
        <w:t xml:space="preserve">sumério vem do hebraico</w:t>
      </w:r>
      <w:r>
        <w:rPr>
          <w:lang w:val="pt-BR" w:eastAsia="pt-BR"/>
        </w:rPr>
        <w:t xml:space="preserve">”</w:t>
      </w:r>
    </w:p>
    <w:p>
      <w:pPr>
        <w:pStyle w:val="FirstParagraph"/>
      </w:pPr>
      <w:r>
        <w:rPr>
          <w:lang w:val="pt-BR" w:eastAsia="pt-BR"/>
        </w:rPr>
        <w:t xml:space="preserve">Uma lista de palavras supostamente semelhantes deveria fornecer:</w:t>
      </w:r>
    </w:p>
    <w:p>
      <w:pPr>
        <w:numPr>
          <w:ilvl w:val="0"/>
          <w:numId w:val="1007"/>
        </w:numPr>
        <w:pStyle w:val="Compact"/>
      </w:pPr>
      <w:r>
        <w:rPr>
          <w:lang w:val="pt-BR" w:eastAsia="pt-BR"/>
        </w:rPr>
        <w:t xml:space="preserve">formas sumérias normalizadas e valores em contextos datados;</w:t>
      </w:r>
    </w:p>
    <w:p>
      <w:pPr>
        <w:numPr>
          <w:ilvl w:val="0"/>
          <w:numId w:val="1007"/>
        </w:numPr>
        <w:pStyle w:val="Compact"/>
      </w:pPr>
      <w:r>
        <w:rPr>
          <w:lang w:val="pt-BR" w:eastAsia="pt-BR"/>
        </w:rPr>
        <w:t xml:space="preserve">formas hebraicas antigas, não vocalizações arbitrárias;</w:t>
      </w:r>
    </w:p>
    <w:p>
      <w:pPr>
        <w:numPr>
          <w:ilvl w:val="0"/>
          <w:numId w:val="1007"/>
        </w:numPr>
        <w:pStyle w:val="Compact"/>
      </w:pPr>
      <w:r>
        <w:rPr>
          <w:lang w:val="pt-BR" w:eastAsia="pt-BR"/>
        </w:rPr>
        <w:t xml:space="preserve">uma tabela de correspondências sonoras repetidas;</w:t>
      </w:r>
    </w:p>
    <w:p>
      <w:pPr>
        <w:numPr>
          <w:ilvl w:val="0"/>
          <w:numId w:val="1007"/>
        </w:numPr>
        <w:pStyle w:val="Compact"/>
      </w:pPr>
      <w:r>
        <w:rPr>
          <w:lang w:val="pt-BR" w:eastAsia="pt-BR"/>
        </w:rPr>
        <w:t xml:space="preserve">morfemas gramaticais compartilhados em paradigmas;</w:t>
      </w:r>
    </w:p>
    <w:p>
      <w:pPr>
        <w:numPr>
          <w:ilvl w:val="0"/>
          <w:numId w:val="1007"/>
        </w:numPr>
        <w:pStyle w:val="Compact"/>
      </w:pPr>
      <w:r>
        <w:rPr>
          <w:lang w:val="pt-BR" w:eastAsia="pt-BR"/>
        </w:rPr>
        <w:t xml:space="preserve">direção de mudança e estágios intermediários;</w:t>
      </w:r>
    </w:p>
    <w:p>
      <w:pPr>
        <w:numPr>
          <w:ilvl w:val="0"/>
          <w:numId w:val="1007"/>
        </w:numPr>
        <w:pStyle w:val="Compact"/>
      </w:pPr>
      <w:r>
        <w:rPr>
          <w:lang w:val="pt-BR" w:eastAsia="pt-BR"/>
        </w:rPr>
        <w:t xml:space="preserve">tratamento explícito de empréstimos via acadiano.</w:t>
      </w:r>
    </w:p>
    <w:p>
      <w:pPr>
        <w:pStyle w:val="FirstParagraph"/>
      </w:pPr>
      <w:r>
        <w:rPr>
          <w:lang w:val="pt-BR" w:eastAsia="pt-BR"/>
        </w:rPr>
        <w:t xml:space="preserve">As alegações populares normalmente alinham uma palavra suméria e uma hebraica por tradução moderna, toleram trocas livres de sons e ignoram a morfologia aglutinante suméria. Sem séries regulares, o resultado é numerologia lexical, não etimologia. A anterioridade documental do sumério reforça o problema de uma derivação do hebraico, mas não é o único argumento: a ausência de uma gramática herdada e de correspondências sistemáticas é decisiva.</w:t>
      </w:r>
    </w:p>
    <w:bookmarkEnd w:id="77"/>
    <w:bookmarkStart w:id="78" w:name="Xaafb4c9b3f4bbba4c39eeccafb4354b73cd883f"/>
    <w:p>
      <w:pPr>
        <w:pStyle w:val="Heading2"/>
      </w:pPr>
      <w:r>
        <w:rPr>
          <w:lang w:val="pt-BR" w:eastAsia="pt-BR"/>
        </w:rPr>
        <w:t xml:space="preserve">12.3 O que seria necessário para mudar a classificação</w:t>
      </w:r>
    </w:p>
    <w:p>
      <w:pPr>
        <w:pStyle w:val="FirstParagraph"/>
      </w:pPr>
      <w:r>
        <w:rPr>
          <w:lang w:val="pt-BR" w:eastAsia="pt-BR"/>
        </w:rPr>
        <w:t xml:space="preserve">Línguas isoladas podem ganhar parentes se surgirem novos dados. Para relacionar sumério e hebraico, seria necessário descobrir um conjunto amplo de cognatos básicos, correspondências fonológicas sem exceções arbitrárias e morfemas comparáveis que não sejam empréstimos. Uma hipótese assim seria publicável e testável. Até hoje, não existe demonstração aceita desse tipo.</w:t>
      </w:r>
    </w:p>
    <w:bookmarkEnd w:id="78"/>
    <w:bookmarkEnd w:id="79"/>
    <w:bookmarkStart w:id="84" w:name="origem-da-linguagem-humana"/>
    <w:p>
      <w:bookmarkStart w:id="514" w:name="sec_015"/>
      <w:pPr>
        <w:pStyle w:val="Heading1"/>
        <w:pBdr>
          <w:bottom w:val="single" w:sz="12" w:space="6" w:color="C4942F"/>
        </w:pBdr>
      </w:pPr>
      <w:r>
        <w:rPr>
          <w:lang w:val="pt-BR" w:eastAsia="pt-BR"/>
        </w:rPr>
        <w:t xml:space="preserve">13. Origem da linguagem humana</w:t>
      </w:r>
      <w:bookmarkEnd w:id="514"/>
    </w:p>
    <w:bookmarkStart w:id="80" w:name="quatro-perguntas-diferentes"/>
    <w:p>
      <w:pPr>
        <w:pStyle w:val="Heading2"/>
      </w:pPr>
      <w:r>
        <w:rPr>
          <w:lang w:val="pt-BR" w:eastAsia="pt-BR"/>
        </w:rPr>
        <w:t xml:space="preserve">13.1 Quatro perguntas diferentes</w:t>
      </w:r>
    </w:p>
    <w:p>
      <w:pPr>
        <w:numPr>
          <w:ilvl w:val="0"/>
          <w:numId w:val="1008"/>
        </w:numPr>
        <w:pStyle w:val="Compact"/>
      </w:pPr>
      <w:r>
        <w:rPr>
          <w:bCs/>
          <w:b/>
          <w:lang w:val="pt-BR" w:eastAsia="pt-BR"/>
        </w:rPr>
        <w:t xml:space="preserve">Origem biológica da capacidade linguística:</w:t>
      </w:r>
      <w:r>
        <w:rPr>
          <w:lang w:val="pt-BR" w:eastAsia="pt-BR"/>
        </w:rPr>
        <w:t xml:space="preserve"> </w:t>
      </w:r>
      <w:r>
        <w:rPr>
          <w:lang w:val="pt-BR" w:eastAsia="pt-BR"/>
        </w:rPr>
        <w:t xml:space="preserve">evolução neural, anatômica, cognitiva e social que permite linguagem.</w:t>
      </w:r>
    </w:p>
    <w:p>
      <w:pPr>
        <w:numPr>
          <w:ilvl w:val="0"/>
          <w:numId w:val="1008"/>
        </w:numPr>
        <w:pStyle w:val="Compact"/>
      </w:pPr>
      <w:r>
        <w:rPr>
          <w:bCs/>
          <w:b/>
          <w:lang w:val="pt-BR" w:eastAsia="pt-BR"/>
        </w:rPr>
        <w:t xml:space="preserve">Origem de uma língua específica:</w:t>
      </w:r>
      <w:r>
        <w:rPr>
          <w:lang w:val="pt-BR" w:eastAsia="pt-BR"/>
        </w:rPr>
        <w:t xml:space="preserve"> </w:t>
      </w:r>
      <w:r>
        <w:rPr>
          <w:lang w:val="pt-BR" w:eastAsia="pt-BR"/>
        </w:rPr>
        <w:t xml:space="preserve">história de transmissão e mudança de uma comunidade, como hebraico ou japonês.</w:t>
      </w:r>
    </w:p>
    <w:p>
      <w:pPr>
        <w:numPr>
          <w:ilvl w:val="0"/>
          <w:numId w:val="1008"/>
        </w:numPr>
        <w:pStyle w:val="Compact"/>
      </w:pPr>
      <w:r>
        <w:rPr>
          <w:bCs/>
          <w:b/>
          <w:lang w:val="pt-BR" w:eastAsia="pt-BR"/>
        </w:rPr>
        <w:t xml:space="preserve">Reconstrução de proto-línguas:</w:t>
      </w:r>
      <w:r>
        <w:rPr>
          <w:lang w:val="pt-BR" w:eastAsia="pt-BR"/>
        </w:rPr>
        <w:t xml:space="preserve"> </w:t>
      </w:r>
      <w:r>
        <w:rPr>
          <w:lang w:val="pt-BR" w:eastAsia="pt-BR"/>
        </w:rPr>
        <w:t xml:space="preserve">inferência comparativa a partir de filhas conhecidas.</w:t>
      </w:r>
    </w:p>
    <w:p>
      <w:pPr>
        <w:numPr>
          <w:ilvl w:val="0"/>
          <w:numId w:val="1008"/>
        </w:numPr>
        <w:pStyle w:val="Compact"/>
      </w:pPr>
      <w:r>
        <w:rPr>
          <w:bCs/>
          <w:b/>
          <w:lang w:val="pt-BR" w:eastAsia="pt-BR"/>
        </w:rPr>
        <w:t xml:space="preserve">Primeiros registros escritos:</w:t>
      </w:r>
      <w:r>
        <w:rPr>
          <w:lang w:val="pt-BR" w:eastAsia="pt-BR"/>
        </w:rPr>
        <w:t xml:space="preserve"> </w:t>
      </w:r>
      <w:r>
        <w:rPr>
          <w:lang w:val="pt-BR" w:eastAsia="pt-BR"/>
        </w:rPr>
        <w:t xml:space="preserve">invenção e preservação de sistemas gráficos, ocorrida muito depois da fala.</w:t>
      </w:r>
    </w:p>
    <w:p>
      <w:pPr>
        <w:pStyle w:val="FirstParagraph"/>
      </w:pPr>
      <w:r>
        <w:rPr>
          <w:lang w:val="pt-BR" w:eastAsia="pt-BR"/>
        </w:rPr>
        <w:t xml:space="preserve">Confundir essas escalas cria um salto de centenas de milhares de anos entre evolução humana e uma língua da Idade do Ferro.</w:t>
      </w:r>
    </w:p>
    <w:bookmarkEnd w:id="80"/>
    <w:bookmarkStart w:id="81" w:name="X86b5262d5a47997fac0f9eb26293b6e0e8136a8"/>
    <w:p>
      <w:pPr>
        <w:pStyle w:val="Heading2"/>
      </w:pPr>
      <w:r>
        <w:rPr>
          <w:lang w:val="pt-BR" w:eastAsia="pt-BR"/>
        </w:rPr>
        <w:t xml:space="preserve">13.2 Linguística, paleoantropologia, arqueologia e genética</w:t>
      </w:r>
    </w:p>
    <w:p>
      <w:pPr>
        <w:pStyle w:val="FirstParagraph"/>
      </w:pPr>
      <w:r>
        <w:rPr>
          <w:lang w:val="pt-BR" w:eastAsia="pt-BR"/>
        </w:rPr>
        <w:t xml:space="preserve">A linguagem não fossiliza. Ossos hioides, anatomia do trato vocal, endocastos, genes associados à fala, ferramentas, arte simbólica e redes sociais fornecem indícios sobre capacidade cognitiva, não vocabulários. Um estudo de síntese recente propôs que a capacidade linguística estivesse presente em</w:t>
      </w:r>
      <w:r>
        <w:rPr>
          <w:lang w:val="pt-BR" w:eastAsia="pt-BR"/>
        </w:rPr>
        <w:t xml:space="preserve"> </w:t>
      </w:r>
      <w:r>
        <w:rPr>
          <w:iCs/>
          <w:i/>
          <w:lang w:val="pt-BR" w:eastAsia="pt-BR"/>
        </w:rPr>
        <w:t xml:space="preserve">Homo sapiens</w:t>
      </w:r>
      <w:r>
        <w:rPr>
          <w:lang w:val="pt-BR" w:eastAsia="pt-BR"/>
        </w:rPr>
        <w:t xml:space="preserve"> </w:t>
      </w:r>
      <w:r>
        <w:rPr>
          <w:lang w:val="pt-BR" w:eastAsia="pt-BR"/>
        </w:rPr>
        <w:t xml:space="preserve">por volta de pelo menos ~135 mil anos, com uso social amplo possivelmente mais tarde; os próprios autores tratam isso como inferência a partir da divergência populacional, não gravação de uma protolíngua (Miyagawa et al. 2025). Outras sínteses enfatizam que capacidades biológicas e transmissão cultural podem ter trajetórias distintas e que a origem permanece sem consenso (Arnon et al. 2025).</w:t>
      </w:r>
    </w:p>
    <w:p>
      <w:pPr>
        <w:pStyle w:val="BodyText"/>
      </w:pPr>
      <w:r>
        <w:rPr>
          <w:lang w:val="pt-BR" w:eastAsia="pt-BR"/>
        </w:rPr>
        <w:t xml:space="preserve">Genética populacional reconstrói parentesco e separação entre populações. Línguas podem acompanhar migrações, mas também podem ser substituídas sem substituição genética equivalente. Populações geneticamente próximas podem falar línguas de famílias diferentes, e uma língua pode expandir-se por mudança cultural. Logo, um haplogrupo não identifica o idioma de Adão nem o</w:t>
      </w:r>
      <w:r>
        <w:rPr>
          <w:lang w:val="pt-BR" w:eastAsia="pt-BR"/>
        </w:rPr>
        <w:t xml:space="preserve"> </w:t>
      </w:r>
      <w:r>
        <w:rPr>
          <w:lang w:val="pt-BR" w:eastAsia="pt-BR"/>
        </w:rPr>
        <w:t xml:space="preserve">“</w:t>
      </w:r>
      <w:r>
        <w:rPr>
          <w:lang w:val="pt-BR" w:eastAsia="pt-BR"/>
        </w:rPr>
        <w:t xml:space="preserve">primeiro vocabulário</w:t>
      </w:r>
      <w:r>
        <w:rPr>
          <w:lang w:val="pt-BR" w:eastAsia="pt-BR"/>
        </w:rPr>
        <w:t xml:space="preserve">”</w:t>
      </w:r>
      <w:r>
        <w:rPr>
          <w:lang w:val="pt-BR" w:eastAsia="pt-BR"/>
        </w:rPr>
        <w:t xml:space="preserve">.</w:t>
      </w:r>
    </w:p>
    <w:bookmarkEnd w:id="81"/>
    <w:bookmarkStart w:id="82" w:name="limite-temporal-do-método-comparativo"/>
    <w:p>
      <w:pPr>
        <w:pStyle w:val="Heading2"/>
      </w:pPr>
      <w:r>
        <w:rPr>
          <w:lang w:val="pt-BR" w:eastAsia="pt-BR"/>
        </w:rPr>
        <w:t xml:space="preserve">13.3 Limite temporal do método comparativo</w:t>
      </w:r>
    </w:p>
    <w:p>
      <w:pPr>
        <w:pStyle w:val="FirstParagraph"/>
      </w:pPr>
      <w:r>
        <w:rPr>
          <w:lang w:val="pt-BR" w:eastAsia="pt-BR"/>
        </w:rPr>
        <w:t xml:space="preserve">Não existe uma parede cronológica universal, mas o sinal se degrada. Sons mudam, palavras básicas são substituídas, morfemas se erodem, empréstimos se acumulam e ramos desaparecem sem documentação. Campbell e Rankin observam que, em condições comuns, cerca de oito a dez mil anos já constituem uma profundidade excepcional para demonstração segura; famílias com registros antigos e morfologia conservadora podem permitir detalhes especiais, mas não uma ponte de cem mil anos.</w:t>
      </w:r>
    </w:p>
    <w:bookmarkEnd w:id="82"/>
    <w:bookmarkStart w:id="83" w:name="Xd33603f06d27c2035f4162d049eb039c5b8ab28"/>
    <w:p>
      <w:pPr>
        <w:pStyle w:val="Heading2"/>
      </w:pPr>
      <w:r>
        <w:rPr>
          <w:lang w:val="pt-BR" w:eastAsia="pt-BR"/>
        </w:rPr>
        <w:t xml:space="preserve">13.4 Proto-Human, Proto-World, monogênese e poligênese</w:t>
      </w:r>
    </w:p>
    <w:p>
      <w:pPr>
        <w:pStyle w:val="FirstParagraph"/>
      </w:pPr>
      <w:r>
        <w:rPr>
          <w:bCs/>
          <w:b/>
          <w:lang w:val="pt-BR" w:eastAsia="pt-BR"/>
        </w:rPr>
        <w:t xml:space="preserve">Monogênese da capacidade linguística</w:t>
      </w:r>
      <w:r>
        <w:rPr>
          <w:lang w:val="pt-BR" w:eastAsia="pt-BR"/>
        </w:rPr>
        <w:t xml:space="preserve"> </w:t>
      </w:r>
      <w:r>
        <w:rPr>
          <w:lang w:val="pt-BR" w:eastAsia="pt-BR"/>
        </w:rPr>
        <w:t xml:space="preserve">é a hipótese de uma origem evolutiva comum da faculdade humana.</w:t>
      </w:r>
      <w:r>
        <w:rPr>
          <w:lang w:val="pt-BR" w:eastAsia="pt-BR"/>
        </w:rPr>
        <w:t xml:space="preserve"> </w:t>
      </w:r>
      <w:r>
        <w:rPr>
          <w:bCs/>
          <w:b/>
          <w:lang w:val="pt-BR" w:eastAsia="pt-BR"/>
        </w:rPr>
        <w:t xml:space="preserve">Monogênese das línguas</w:t>
      </w:r>
      <w:r>
        <w:rPr>
          <w:lang w:val="pt-BR" w:eastAsia="pt-BR"/>
        </w:rPr>
        <w:t xml:space="preserve"> </w:t>
      </w:r>
      <w:r>
        <w:rPr>
          <w:lang w:val="pt-BR" w:eastAsia="pt-BR"/>
        </w:rPr>
        <w:t xml:space="preserve">afirma que todas as línguas faladas descendem de uma única língua. A primeira pode ser discutida biologicamente sem que a segunda seja recuperável filologicamente. Mesmo se todas as línguas tivessem uma única origem, erosão temporal poderia tornar a ancestralidade indemonstrável.</w:t>
      </w:r>
    </w:p>
    <w:p>
      <w:pPr>
        <w:pStyle w:val="BodyText"/>
      </w:pPr>
      <w:r>
        <w:rPr>
          <w:lang w:val="pt-BR" w:eastAsia="pt-BR"/>
        </w:rPr>
        <w:t xml:space="preserve">“</w:t>
      </w:r>
      <w:r>
        <w:rPr>
          <w:lang w:val="pt-BR" w:eastAsia="pt-BR"/>
        </w:rPr>
        <w:t xml:space="preserve">Proto-World</w:t>
      </w:r>
      <w:r>
        <w:rPr>
          <w:lang w:val="pt-BR" w:eastAsia="pt-BR"/>
        </w:rPr>
        <w:t xml:space="preserve">”</w:t>
      </w:r>
      <w:r>
        <w:rPr>
          <w:lang w:val="pt-BR" w:eastAsia="pt-BR"/>
        </w:rPr>
        <w:t xml:space="preserve"> </w:t>
      </w:r>
      <w:r>
        <w:rPr>
          <w:lang w:val="pt-BR" w:eastAsia="pt-BR"/>
        </w:rPr>
        <w:t xml:space="preserve">ou</w:t>
      </w:r>
      <w:r>
        <w:rPr>
          <w:lang w:val="pt-BR" w:eastAsia="pt-BR"/>
        </w:rPr>
        <w:t xml:space="preserve"> </w:t>
      </w:r>
      <w:r>
        <w:rPr>
          <w:lang w:val="pt-BR" w:eastAsia="pt-BR"/>
        </w:rPr>
        <w:t xml:space="preserve">“</w:t>
      </w:r>
      <w:r>
        <w:rPr>
          <w:lang w:val="pt-BR" w:eastAsia="pt-BR"/>
        </w:rPr>
        <w:t xml:space="preserve">Proto-Human</w:t>
      </w:r>
      <w:r>
        <w:rPr>
          <w:lang w:val="pt-BR" w:eastAsia="pt-BR"/>
        </w:rPr>
        <w:t xml:space="preserve">”</w:t>
      </w:r>
      <w:r>
        <w:rPr>
          <w:lang w:val="pt-BR" w:eastAsia="pt-BR"/>
        </w:rPr>
        <w:t xml:space="preserve"> </w:t>
      </w:r>
      <w:r>
        <w:rPr>
          <w:lang w:val="pt-BR" w:eastAsia="pt-BR"/>
        </w:rPr>
        <w:t xml:space="preserve">designa tentativas de reconstruir vocabulário universal por comparações de famílias muito remotas. Essas propostas são minoritárias e não aceitas como reconstruções demonstradas porque usam conjuntos curtos, toleram semelhança sem correspondência regular, selecionam significados flexíveis e não controlam probabilidade de acaso. A posição responsável não é afirmar poligênese como fato, mas reconhecer que os dados atuais não decidem uma língua única original nem recuperam sua forma.</w:t>
      </w:r>
    </w:p>
    <w:bookmarkEnd w:id="83"/>
    <w:bookmarkEnd w:id="84"/>
    <w:bookmarkStart w:id="90" w:name="história-intelectual-da-língua-adâmica"/>
    <w:p>
      <w:bookmarkStart w:id="515" w:name="sec_016"/>
      <w:pPr>
        <w:pStyle w:val="Heading1"/>
        <w:pBdr>
          <w:bottom w:val="single" w:sz="12" w:space="6" w:color="C4942F"/>
        </w:pBdr>
      </w:pPr>
      <w:r>
        <w:rPr>
          <w:lang w:val="pt-BR" w:eastAsia="pt-BR"/>
        </w:rPr>
        <w:t xml:space="preserve">14. História intelectual da língua adâmica</w:t>
      </w:r>
      <w:bookmarkEnd w:id="515"/>
    </w:p>
    <w:bookmarkStart w:id="85" w:name="X70ffe2784ca3f2fd6877b38cab6e6af064782fa"/>
    <w:p>
      <w:pPr>
        <w:pStyle w:val="Heading2"/>
      </w:pPr>
      <w:r>
        <w:rPr>
          <w:lang w:val="pt-BR" w:eastAsia="pt-BR"/>
        </w:rPr>
        <w:t xml:space="preserve">14.1 Antiguidade judaica e literatura rabínica</w:t>
      </w:r>
    </w:p>
    <w:p>
      <w:pPr>
        <w:pStyle w:val="FirstParagraph"/>
      </w:pPr>
      <w:r>
        <w:rPr>
          <w:lang w:val="pt-BR" w:eastAsia="pt-BR"/>
        </w:rPr>
        <w:t xml:space="preserve">A ligação entre criação e hebraico nasce de leitura teológica, não de epigrafia.</w:t>
      </w:r>
      <w:r>
        <w:rPr>
          <w:lang w:val="pt-BR" w:eastAsia="pt-BR"/>
        </w:rPr>
        <w:t xml:space="preserve"> </w:t>
      </w:r>
      <w:r>
        <w:rPr>
          <w:iCs/>
          <w:i/>
          <w:lang w:val="pt-BR" w:eastAsia="pt-BR"/>
        </w:rPr>
        <w:t xml:space="preserve">Gênesis Rabbah</w:t>
      </w:r>
      <w:r>
        <w:rPr>
          <w:lang w:val="pt-BR" w:eastAsia="pt-BR"/>
        </w:rPr>
        <w:t xml:space="preserve"> </w:t>
      </w:r>
      <w:r>
        <w:rPr>
          <w:lang w:val="pt-BR" w:eastAsia="pt-BR"/>
        </w:rPr>
        <w:t xml:space="preserve">18:4 usa o par</w:t>
      </w:r>
      <w:r>
        <w:rPr>
          <w:lang w:val="pt-BR" w:eastAsia="pt-BR"/>
        </w:rPr>
        <w:t xml:space="preserve"> </w:t>
      </w:r>
      <w:r>
        <w:rPr>
          <w:iCs/>
          <w:i/>
          <w:lang w:val="pt-BR" w:eastAsia="pt-BR"/>
        </w:rPr>
        <w:t xml:space="preserve">ʾîš/ʾiššâ</w:t>
      </w:r>
      <w:r>
        <w:rPr>
          <w:lang w:val="pt-BR" w:eastAsia="pt-BR"/>
        </w:rPr>
        <w:t xml:space="preserve"> </w:t>
      </w:r>
      <w:r>
        <w:rPr>
          <w:lang w:val="pt-BR" w:eastAsia="pt-BR"/>
        </w:rPr>
        <w:t xml:space="preserve">(</w:t>
      </w:r>
      <w:r>
        <w:rPr>
          <w:lang w:val="pt-BR" w:eastAsia="pt-BR"/>
        </w:rPr>
        <w:t xml:space="preserve">“</w:t>
      </w:r>
      <w:r>
        <w:rPr>
          <w:lang w:val="pt-BR" w:eastAsia="pt-BR"/>
        </w:rPr>
        <w:t xml:space="preserve">homem/mulher</w:t>
      </w:r>
      <w:r>
        <w:rPr>
          <w:lang w:val="pt-BR" w:eastAsia="pt-BR"/>
        </w:rPr>
        <w:t xml:space="preserve">”</w:t>
      </w:r>
      <w:r>
        <w:rPr>
          <w:lang w:val="pt-BR" w:eastAsia="pt-BR"/>
        </w:rPr>
        <w:t xml:space="preserve">) para argumentar que a criação foi expressa na</w:t>
      </w:r>
      <w:r>
        <w:rPr>
          <w:lang w:val="pt-BR" w:eastAsia="pt-BR"/>
        </w:rPr>
        <w:t xml:space="preserve"> </w:t>
      </w:r>
      <w:r>
        <w:rPr>
          <w:lang w:val="pt-BR" w:eastAsia="pt-BR"/>
        </w:rPr>
        <w:t xml:space="preserve">“</w:t>
      </w:r>
      <w:r>
        <w:rPr>
          <w:lang w:val="pt-BR" w:eastAsia="pt-BR"/>
        </w:rPr>
        <w:t xml:space="preserve">língua santa</w:t>
      </w:r>
      <w:r>
        <w:rPr>
          <w:lang w:val="pt-BR" w:eastAsia="pt-BR"/>
        </w:rPr>
        <w:t xml:space="preserve">”</w:t>
      </w:r>
      <w:r>
        <w:rPr>
          <w:lang w:val="pt-BR" w:eastAsia="pt-BR"/>
        </w:rPr>
        <w:t xml:space="preserve">, pois o jogo não funciona da mesma forma em grego. Essa é uma reflexão antiga sobre a forma hebraica do texto.</w:t>
      </w:r>
    </w:p>
    <w:p>
      <w:pPr>
        <w:pStyle w:val="BodyText"/>
      </w:pPr>
      <w:r>
        <w:rPr>
          <w:lang w:val="pt-BR" w:eastAsia="pt-BR"/>
        </w:rPr>
        <w:t xml:space="preserve">A tradição rabínica não é uniforme. Em</w:t>
      </w:r>
      <w:r>
        <w:rPr>
          <w:lang w:val="pt-BR" w:eastAsia="pt-BR"/>
        </w:rPr>
        <w:t xml:space="preserve"> </w:t>
      </w:r>
      <w:r>
        <w:rPr>
          <w:iCs/>
          <w:i/>
          <w:lang w:val="pt-BR" w:eastAsia="pt-BR"/>
        </w:rPr>
        <w:t xml:space="preserve">b. Sanhedrin</w:t>
      </w:r>
      <w:r>
        <w:rPr>
          <w:lang w:val="pt-BR" w:eastAsia="pt-BR"/>
        </w:rPr>
        <w:t xml:space="preserve"> </w:t>
      </w:r>
      <w:r>
        <w:rPr>
          <w:lang w:val="pt-BR" w:eastAsia="pt-BR"/>
        </w:rPr>
        <w:t xml:space="preserve">38b, Rav afirma que o primeiro ser humano falava aramaico. Outras tradições imaginam setenta línguas ou capacidades linguísticas especiais. O dado histórico importante é a pluralidade:</w:t>
      </w:r>
      <w:r>
        <w:rPr>
          <w:lang w:val="pt-BR" w:eastAsia="pt-BR"/>
        </w:rPr>
        <w:t xml:space="preserve"> </w:t>
      </w:r>
      <w:r>
        <w:rPr>
          <w:lang w:val="pt-BR" w:eastAsia="pt-BR"/>
        </w:rPr>
        <w:t xml:space="preserve">“</w:t>
      </w:r>
      <w:r>
        <w:rPr>
          <w:lang w:val="pt-BR" w:eastAsia="pt-BR"/>
        </w:rPr>
        <w:t xml:space="preserve">o judaísmo sempre ensinou que Adão falava hebraico</w:t>
      </w:r>
      <w:r>
        <w:rPr>
          <w:lang w:val="pt-BR" w:eastAsia="pt-BR"/>
        </w:rPr>
        <w:t xml:space="preserve">”</w:t>
      </w:r>
      <w:r>
        <w:rPr>
          <w:lang w:val="pt-BR" w:eastAsia="pt-BR"/>
        </w:rPr>
        <w:t xml:space="preserve"> </w:t>
      </w:r>
      <w:r>
        <w:rPr>
          <w:lang w:val="pt-BR" w:eastAsia="pt-BR"/>
        </w:rPr>
        <w:t xml:space="preserve">é uma generalização falsa (Fraade 2012).</w:t>
      </w:r>
    </w:p>
    <w:bookmarkEnd w:id="85"/>
    <w:bookmarkStart w:id="86" w:name="autores-cristãos-antigos-e-medievais"/>
    <w:p>
      <w:pPr>
        <w:pStyle w:val="Heading2"/>
      </w:pPr>
      <w:r>
        <w:rPr>
          <w:lang w:val="pt-BR" w:eastAsia="pt-BR"/>
        </w:rPr>
        <w:t xml:space="preserve">14.2 Autores cristãos antigos e medievais</w:t>
      </w:r>
    </w:p>
    <w:p>
      <w:pPr>
        <w:pStyle w:val="FirstParagraph"/>
      </w:pPr>
      <w:r>
        <w:rPr>
          <w:lang w:val="pt-BR" w:eastAsia="pt-BR"/>
        </w:rPr>
        <w:t xml:space="preserve">Agostinho, em</w:t>
      </w:r>
      <w:r>
        <w:rPr>
          <w:lang w:val="pt-BR" w:eastAsia="pt-BR"/>
        </w:rPr>
        <w:t xml:space="preserve"> </w:t>
      </w:r>
      <w:r>
        <w:rPr>
          <w:iCs/>
          <w:i/>
          <w:lang w:val="pt-BR" w:eastAsia="pt-BR"/>
        </w:rPr>
        <w:t xml:space="preserve">A Cidade de Deus</w:t>
      </w:r>
      <w:r>
        <w:rPr>
          <w:lang w:val="pt-BR" w:eastAsia="pt-BR"/>
        </w:rPr>
        <w:t xml:space="preserve"> </w:t>
      </w:r>
      <w:r>
        <w:rPr>
          <w:lang w:val="pt-BR" w:eastAsia="pt-BR"/>
        </w:rPr>
        <w:t xml:space="preserve">XVI.11, defendeu que a língua anterior à divisão foi preservada na família de Héber e por isso veio a chamar-se hebraica. Essa formulação influenciou a tradição latina. Outros autores antigos e siríacos discutiram se hebraico, siríaco/aramaico ou outra variedade possuía prioridade. Jacó de Edessa, por exemplo, sustentou a primazia hebraica em contexto no qual a proximidade entre siríaco e hebraico era reconhecida (Salvesen 2022).</w:t>
      </w:r>
    </w:p>
    <w:p>
      <w:pPr>
        <w:pStyle w:val="BodyText"/>
      </w:pPr>
      <w:r>
        <w:rPr>
          <w:lang w:val="pt-BR" w:eastAsia="pt-BR"/>
        </w:rPr>
        <w:t xml:space="preserve">Na Idade Média latina, o hebraico frequentemente recebeu estatuto adâmico por três razões: era a língua do texto do Gênesis; nomes e jogos de palavras pareciam transparentes; e a etimologia de</w:t>
      </w:r>
      <w:r>
        <w:rPr>
          <w:lang w:val="pt-BR" w:eastAsia="pt-BR"/>
        </w:rPr>
        <w:t xml:space="preserve"> </w:t>
      </w:r>
      <w:r>
        <w:rPr>
          <w:lang w:val="pt-BR" w:eastAsia="pt-BR"/>
        </w:rPr>
        <w:t xml:space="preserve">“</w:t>
      </w:r>
      <w:r>
        <w:rPr>
          <w:lang w:val="pt-BR" w:eastAsia="pt-BR"/>
        </w:rPr>
        <w:t xml:space="preserve">hebreu</w:t>
      </w:r>
      <w:r>
        <w:rPr>
          <w:lang w:val="pt-BR" w:eastAsia="pt-BR"/>
        </w:rPr>
        <w:t xml:space="preserve">”</w:t>
      </w:r>
      <w:r>
        <w:rPr>
          <w:lang w:val="pt-BR" w:eastAsia="pt-BR"/>
        </w:rPr>
        <w:t xml:space="preserve"> </w:t>
      </w:r>
      <w:r>
        <w:rPr>
          <w:lang w:val="pt-BR" w:eastAsia="pt-BR"/>
        </w:rPr>
        <w:t xml:space="preserve">era ligada a Héber. Mas não houve unanimidade. Dante, em</w:t>
      </w:r>
      <w:r>
        <w:rPr>
          <w:lang w:val="pt-BR" w:eastAsia="pt-BR"/>
        </w:rPr>
        <w:t xml:space="preserve"> </w:t>
      </w:r>
      <w:r>
        <w:rPr>
          <w:iCs/>
          <w:i/>
          <w:lang w:val="pt-BR" w:eastAsia="pt-BR"/>
        </w:rPr>
        <w:t xml:space="preserve">De vulgari eloquentia</w:t>
      </w:r>
      <w:r>
        <w:rPr>
          <w:lang w:val="pt-BR" w:eastAsia="pt-BR"/>
        </w:rPr>
        <w:t xml:space="preserve">, falou de uma língua criada com Adão; no</w:t>
      </w:r>
      <w:r>
        <w:rPr>
          <w:lang w:val="pt-BR" w:eastAsia="pt-BR"/>
        </w:rPr>
        <w:t xml:space="preserve"> </w:t>
      </w:r>
      <w:r>
        <w:rPr>
          <w:iCs/>
          <w:i/>
          <w:lang w:val="pt-BR" w:eastAsia="pt-BR"/>
        </w:rPr>
        <w:t xml:space="preserve">Paradiso</w:t>
      </w:r>
      <w:r>
        <w:rPr>
          <w:lang w:val="pt-BR" w:eastAsia="pt-BR"/>
        </w:rPr>
        <w:t xml:space="preserve"> </w:t>
      </w:r>
      <w:r>
        <w:rPr>
          <w:lang w:val="pt-BR" w:eastAsia="pt-BR"/>
        </w:rPr>
        <w:t xml:space="preserve">XXVI, adotou uma visão em que a linguagem muda e a forma falada por Adão não permanece simplesmente idêntica ao hebraico. Na mística judaica, autores como Abraham Abulafia também desenvolveram modelos mais complexos que uma identidade direta.</w:t>
      </w:r>
    </w:p>
    <w:bookmarkEnd w:id="86"/>
    <w:bookmarkStart w:id="87" w:name="renascimento-e-reforma"/>
    <w:p>
      <w:pPr>
        <w:pStyle w:val="Heading2"/>
      </w:pPr>
      <w:r>
        <w:rPr>
          <w:lang w:val="pt-BR" w:eastAsia="pt-BR"/>
        </w:rPr>
        <w:t xml:space="preserve">14.3 Renascimento e Reforma</w:t>
      </w:r>
    </w:p>
    <w:p>
      <w:pPr>
        <w:pStyle w:val="FirstParagraph"/>
      </w:pPr>
      <w:r>
        <w:rPr>
          <w:lang w:val="pt-BR" w:eastAsia="pt-BR"/>
        </w:rPr>
        <w:t xml:space="preserve">O humanismo cristão intensificou o estudo do hebraico. Johannes Reuchlin, Guillaume Postel e outros relacionaram a língua a sabedoria primordial, cabala e exegese. Reformadores valorizaram o acesso ao texto hebraico do Antigo Testamento. Esse movimento produziu gramáticas e léxicos valiosos, mas a reverência religiosa não equivalia a uma demonstração comparativa.</w:t>
      </w:r>
    </w:p>
    <w:p>
      <w:pPr>
        <w:pStyle w:val="BodyText"/>
      </w:pPr>
      <w:r>
        <w:rPr>
          <w:lang w:val="pt-BR" w:eastAsia="pt-BR"/>
        </w:rPr>
        <w:t xml:space="preserve">Ao mesmo tempo, proliferaram candidatos concorrentes: neerlandês, celta, chinês, siríaco e outras línguas foram proclamados primordiais por autores nacionalistas ou especulativos. A facilidade de</w:t>
      </w:r>
      <w:r>
        <w:rPr>
          <w:lang w:val="pt-BR" w:eastAsia="pt-BR"/>
        </w:rPr>
        <w:t xml:space="preserve"> </w:t>
      </w:r>
      <w:r>
        <w:rPr>
          <w:lang w:val="pt-BR" w:eastAsia="pt-BR"/>
        </w:rPr>
        <w:t xml:space="preserve">“</w:t>
      </w:r>
      <w:r>
        <w:rPr>
          <w:lang w:val="pt-BR" w:eastAsia="pt-BR"/>
        </w:rPr>
        <w:t xml:space="preserve">provar</w:t>
      </w:r>
      <w:r>
        <w:rPr>
          <w:lang w:val="pt-BR" w:eastAsia="pt-BR"/>
        </w:rPr>
        <w:t xml:space="preserve">”</w:t>
      </w:r>
      <w:r>
        <w:rPr>
          <w:lang w:val="pt-BR" w:eastAsia="pt-BR"/>
        </w:rPr>
        <w:t xml:space="preserve"> </w:t>
      </w:r>
      <w:r>
        <w:rPr>
          <w:lang w:val="pt-BR" w:eastAsia="pt-BR"/>
        </w:rPr>
        <w:t xml:space="preserve">qualquer língua por anagramas e semelhanças mostrou a necessidade de regras de correspondência.</w:t>
      </w:r>
    </w:p>
    <w:bookmarkEnd w:id="87"/>
    <w:bookmarkStart w:id="88" w:name="Xfd66293ff2465d60c9836cee0b6f5750817a575"/>
    <w:p>
      <w:pPr>
        <w:pStyle w:val="Heading2"/>
      </w:pPr>
      <w:r>
        <w:rPr>
          <w:lang w:val="pt-BR" w:eastAsia="pt-BR"/>
        </w:rPr>
        <w:t xml:space="preserve">14.4 Do comparativismo inicial à linguística moderna</w:t>
      </w:r>
    </w:p>
    <w:p>
      <w:pPr>
        <w:pStyle w:val="FirstParagraph"/>
      </w:pPr>
      <w:r>
        <w:rPr>
          <w:lang w:val="pt-BR" w:eastAsia="pt-BR"/>
        </w:rPr>
        <w:t xml:space="preserve">Nos séculos XVII e XVIII, estudiosos como Leibniz rejeitaram a ideia de derivar automaticamente todas as palavras do hebraico contemporâneo e defenderam comparação extensa de vocabulários. A descoberta e o estudo do sânscrito, a identificação do indo-europeu, o avanço da filologia semítica e a formulação de leis sonoras no século XIX alteraram a natureza da prova.</w:t>
      </w:r>
    </w:p>
    <w:p>
      <w:pPr>
        <w:pStyle w:val="BodyText"/>
      </w:pPr>
      <w:r>
        <w:rPr>
          <w:lang w:val="pt-BR" w:eastAsia="pt-BR"/>
        </w:rPr>
        <w:t xml:space="preserve">A hipótese adâmica não foi abandonada porque</w:t>
      </w:r>
      <w:r>
        <w:rPr>
          <w:lang w:val="pt-BR" w:eastAsia="pt-BR"/>
        </w:rPr>
        <w:t xml:space="preserve"> </w:t>
      </w:r>
      <w:r>
        <w:rPr>
          <w:lang w:val="pt-BR" w:eastAsia="pt-BR"/>
        </w:rPr>
        <w:t xml:space="preserve">“</w:t>
      </w:r>
      <w:r>
        <w:rPr>
          <w:lang w:val="pt-BR" w:eastAsia="pt-BR"/>
        </w:rPr>
        <w:t xml:space="preserve">a academia se tornou antirreligiosa</w:t>
      </w:r>
      <w:r>
        <w:rPr>
          <w:lang w:val="pt-BR" w:eastAsia="pt-BR"/>
        </w:rPr>
        <w:t xml:space="preserve">”</w:t>
      </w:r>
      <w:r>
        <w:rPr>
          <w:lang w:val="pt-BR" w:eastAsia="pt-BR"/>
        </w:rPr>
        <w:t xml:space="preserve">, mas porque deixou de gerar as correspondências regulares exigidas de qualquer genealogia. Muitos fundadores da filologia eram religiosos; o método permitiu separar convicção teológica de inferência histórica. Desde então,</w:t>
      </w:r>
      <w:r>
        <w:rPr>
          <w:lang w:val="pt-BR" w:eastAsia="pt-BR"/>
        </w:rPr>
        <w:t xml:space="preserve"> </w:t>
      </w:r>
      <w:r>
        <w:rPr>
          <w:lang w:val="pt-BR" w:eastAsia="pt-BR"/>
        </w:rPr>
        <w:t xml:space="preserve">“</w:t>
      </w:r>
      <w:r>
        <w:rPr>
          <w:lang w:val="pt-BR" w:eastAsia="pt-BR"/>
        </w:rPr>
        <w:t xml:space="preserve">hebraico foi a língua de Adão</w:t>
      </w:r>
      <w:r>
        <w:rPr>
          <w:lang w:val="pt-BR" w:eastAsia="pt-BR"/>
        </w:rPr>
        <w:t xml:space="preserve">”</w:t>
      </w:r>
      <w:r>
        <w:rPr>
          <w:lang w:val="pt-BR" w:eastAsia="pt-BR"/>
        </w:rPr>
        <w:t xml:space="preserve"> </w:t>
      </w:r>
      <w:r>
        <w:rPr>
          <w:lang w:val="pt-BR" w:eastAsia="pt-BR"/>
        </w:rPr>
        <w:t xml:space="preserve">permanece uma possibilidade confessional para algumas tradições, não uma conclusão da linguística.</w:t>
      </w:r>
    </w:p>
    <w:bookmarkEnd w:id="88"/>
    <w:bookmarkStart w:id="89" w:name="linha-intelectual-resumida"/>
    <w:p>
      <w:pPr>
        <w:pStyle w:val="Heading2"/>
      </w:pPr>
      <w:r>
        <w:rPr>
          <w:lang w:val="pt-BR" w:eastAsia="pt-BR"/>
        </w:rPr>
        <w:t xml:space="preserve">14.5 Linha intelectual resumida</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Período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Forma da ideia</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Estatuto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Antiguidade rabínica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“Língua santa” ligada à criação; também tradições aramaicas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Plural e teológica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Patrística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preservado por Héber em autores como Agostinho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Exegética/histórico-sagrada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Idade Média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Predomínio hebraico em partes do cristianismo; dissensos e modelos de mutabilidade</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Erudição pré-comparativa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Renascimento/Reforma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Hebraísmo cristão, cabala, retorno às línguas bíblicas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Grande prestígio do hebraico, mas métodos irregulares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XVII–XVIII</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Coleta comparativa, críticas às etimologias universais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Transição metodológica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 XIX–presente</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Método comparativo, famílias e proto-línguas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Hipótese hebraica deixa de ser científica por falta de correspondências</w:t>
            </w:r>
          </w:p>
        </w:tc>
      </w:tr>
    </w:tbl>
    <w:bookmarkEnd w:id="89"/>
    <w:bookmarkEnd w:id="90"/>
    <w:bookmarkStart w:id="95" w:name="gênesis-2-10-e-11"/>
    <w:p>
      <w:bookmarkStart w:id="516" w:name="sec_017"/>
      <w:pPr>
        <w:pStyle w:val="Heading1"/>
        <w:pBdr>
          <w:bottom w:val="single" w:sz="12" w:space="6" w:color="C4942F"/>
        </w:pBdr>
      </w:pPr>
      <w:r>
        <w:rPr>
          <w:lang w:val="pt-BR" w:eastAsia="pt-BR"/>
        </w:rPr>
        <w:t xml:space="preserve">15. Gênesis 2, 10 e 11</w:t>
      </w:r>
      <w:bookmarkEnd w:id="516"/>
    </w:p>
    <w:bookmarkStart w:id="91" w:name="gênesis-2-e-os-jogos-de-palavras"/>
    <w:p>
      <w:pPr>
        <w:pStyle w:val="Heading2"/>
      </w:pPr>
      <w:r>
        <w:rPr>
          <w:lang w:val="pt-BR" w:eastAsia="pt-BR"/>
        </w:rPr>
        <w:t xml:space="preserve">15.1 Gênesis 2 e os jogos de palavras</w:t>
      </w:r>
    </w:p>
    <w:p>
      <w:pPr>
        <w:pStyle w:val="FirstParagraph"/>
      </w:pPr>
      <w:r>
        <w:rPr>
          <w:lang w:val="pt-BR" w:eastAsia="pt-BR"/>
        </w:rPr>
        <w:t xml:space="preserve">O hebraico de Gênesis 2 explora associações como:</w:t>
      </w:r>
    </w:p>
    <w:p>
      <w:pPr>
        <w:numPr>
          <w:ilvl w:val="0"/>
          <w:numId w:val="1009"/>
        </w:numPr>
        <w:pStyle w:val="Compact"/>
      </w:pPr>
      <w:r>
        <w:rPr>
          <w:iCs/>
          <w:i/>
          <w:lang w:val="pt-BR" w:eastAsia="pt-BR"/>
        </w:rPr>
        <w:t xml:space="preserve">ʾādām</w:t>
      </w:r>
      <w:r>
        <w:rPr>
          <w:lang w:val="pt-BR" w:eastAsia="pt-BR"/>
        </w:rPr>
        <w:t xml:space="preserve"> </w:t>
      </w:r>
      <w:r>
        <w:rPr>
          <w:lang w:val="pt-BR" w:eastAsia="pt-BR"/>
        </w:rPr>
        <w:t xml:space="preserve">(</w:t>
      </w:r>
      <w:r>
        <w:rPr>
          <w:lang w:val="pt-BR" w:eastAsia="pt-BR"/>
        </w:rPr>
        <w:t xml:space="preserve">“</w:t>
      </w:r>
      <w:r>
        <w:rPr>
          <w:lang w:val="pt-BR" w:eastAsia="pt-BR"/>
        </w:rPr>
        <w:t xml:space="preserve">humano/Adão</w:t>
      </w:r>
      <w:r>
        <w:rPr>
          <w:lang w:val="pt-BR" w:eastAsia="pt-BR"/>
        </w:rPr>
        <w:t xml:space="preserve">”</w:t>
      </w:r>
      <w:r>
        <w:rPr>
          <w:lang w:val="pt-BR" w:eastAsia="pt-BR"/>
        </w:rPr>
        <w:t xml:space="preserve">) e</w:t>
      </w:r>
      <w:r>
        <w:rPr>
          <w:lang w:val="pt-BR" w:eastAsia="pt-BR"/>
        </w:rPr>
        <w:t xml:space="preserve"> </w:t>
      </w:r>
      <w:r>
        <w:rPr>
          <w:iCs/>
          <w:i/>
          <w:lang w:val="pt-BR" w:eastAsia="pt-BR"/>
        </w:rPr>
        <w:t xml:space="preserve">ʾădāmâ</w:t>
      </w:r>
      <w:r>
        <w:rPr>
          <w:lang w:val="pt-BR" w:eastAsia="pt-BR"/>
        </w:rPr>
        <w:t xml:space="preserve"> </w:t>
      </w:r>
      <w:r>
        <w:rPr>
          <w:lang w:val="pt-BR" w:eastAsia="pt-BR"/>
        </w:rPr>
        <w:t xml:space="preserve">(</w:t>
      </w:r>
      <w:r>
        <w:rPr>
          <w:lang w:val="pt-BR" w:eastAsia="pt-BR"/>
        </w:rPr>
        <w:t xml:space="preserve">“</w:t>
      </w:r>
      <w:r>
        <w:rPr>
          <w:lang w:val="pt-BR" w:eastAsia="pt-BR"/>
        </w:rPr>
        <w:t xml:space="preserve">solo</w:t>
      </w:r>
      <w:r>
        <w:rPr>
          <w:lang w:val="pt-BR" w:eastAsia="pt-BR"/>
        </w:rPr>
        <w:t xml:space="preserve">”</w:t>
      </w:r>
      <w:r>
        <w:rPr>
          <w:lang w:val="pt-BR" w:eastAsia="pt-BR"/>
        </w:rPr>
        <w:t xml:space="preserve">);</w:t>
      </w:r>
    </w:p>
    <w:p>
      <w:pPr>
        <w:numPr>
          <w:ilvl w:val="0"/>
          <w:numId w:val="1009"/>
        </w:numPr>
        <w:pStyle w:val="Compact"/>
      </w:pPr>
      <w:r>
        <w:rPr>
          <w:iCs/>
          <w:i/>
          <w:lang w:val="pt-BR" w:eastAsia="pt-BR"/>
        </w:rPr>
        <w:t xml:space="preserve">ʾîš</w:t>
      </w:r>
      <w:r>
        <w:rPr>
          <w:lang w:val="pt-BR" w:eastAsia="pt-BR"/>
        </w:rPr>
        <w:t xml:space="preserve"> </w:t>
      </w:r>
      <w:r>
        <w:rPr>
          <w:lang w:val="pt-BR" w:eastAsia="pt-BR"/>
        </w:rPr>
        <w:t xml:space="preserve">(</w:t>
      </w:r>
      <w:r>
        <w:rPr>
          <w:lang w:val="pt-BR" w:eastAsia="pt-BR"/>
        </w:rPr>
        <w:t xml:space="preserve">“</w:t>
      </w:r>
      <w:r>
        <w:rPr>
          <w:lang w:val="pt-BR" w:eastAsia="pt-BR"/>
        </w:rPr>
        <w:t xml:space="preserve">homem</w:t>
      </w:r>
      <w:r>
        <w:rPr>
          <w:lang w:val="pt-BR" w:eastAsia="pt-BR"/>
        </w:rPr>
        <w:t xml:space="preserve">”</w:t>
      </w:r>
      <w:r>
        <w:rPr>
          <w:lang w:val="pt-BR" w:eastAsia="pt-BR"/>
        </w:rPr>
        <w:t xml:space="preserve">) e</w:t>
      </w:r>
      <w:r>
        <w:rPr>
          <w:lang w:val="pt-BR" w:eastAsia="pt-BR"/>
        </w:rPr>
        <w:t xml:space="preserve"> </w:t>
      </w:r>
      <w:r>
        <w:rPr>
          <w:iCs/>
          <w:i/>
          <w:lang w:val="pt-BR" w:eastAsia="pt-BR"/>
        </w:rPr>
        <w:t xml:space="preserve">ʾiššâ</w:t>
      </w:r>
      <w:r>
        <w:rPr>
          <w:lang w:val="pt-BR" w:eastAsia="pt-BR"/>
        </w:rPr>
        <w:t xml:space="preserve"> </w:t>
      </w:r>
      <w:r>
        <w:rPr>
          <w:lang w:val="pt-BR" w:eastAsia="pt-BR"/>
        </w:rPr>
        <w:t xml:space="preserve">(</w:t>
      </w:r>
      <w:r>
        <w:rPr>
          <w:lang w:val="pt-BR" w:eastAsia="pt-BR"/>
        </w:rPr>
        <w:t xml:space="preserve">“</w:t>
      </w:r>
      <w:r>
        <w:rPr>
          <w:lang w:val="pt-BR" w:eastAsia="pt-BR"/>
        </w:rPr>
        <w:t xml:space="preserve">mulher</w:t>
      </w:r>
      <w:r>
        <w:rPr>
          <w:lang w:val="pt-BR" w:eastAsia="pt-BR"/>
        </w:rPr>
        <w:t xml:space="preserve">”</w:t>
      </w:r>
      <w:r>
        <w:rPr>
          <w:lang w:val="pt-BR" w:eastAsia="pt-BR"/>
        </w:rPr>
        <w:t xml:space="preserve">);</w:t>
      </w:r>
    </w:p>
    <w:p>
      <w:pPr>
        <w:numPr>
          <w:ilvl w:val="0"/>
          <w:numId w:val="1009"/>
        </w:numPr>
        <w:pStyle w:val="Compact"/>
      </w:pPr>
      <w:r>
        <w:rPr>
          <w:iCs/>
          <w:i/>
          <w:lang w:val="pt-BR" w:eastAsia="pt-BR"/>
        </w:rPr>
        <w:t xml:space="preserve">Ḥawwâ</w:t>
      </w:r>
      <w:r>
        <w:rPr>
          <w:lang w:val="pt-BR" w:eastAsia="pt-BR"/>
        </w:rPr>
        <w:t xml:space="preserve"> </w:t>
      </w:r>
      <w:r>
        <w:rPr>
          <w:lang w:val="pt-BR" w:eastAsia="pt-BR"/>
        </w:rPr>
        <w:t xml:space="preserve">(</w:t>
      </w:r>
      <w:r>
        <w:rPr>
          <w:lang w:val="pt-BR" w:eastAsia="pt-BR"/>
        </w:rPr>
        <w:t xml:space="preserve">“</w:t>
      </w:r>
      <w:r>
        <w:rPr>
          <w:lang w:val="pt-BR" w:eastAsia="pt-BR"/>
        </w:rPr>
        <w:t xml:space="preserve">Eva</w:t>
      </w:r>
      <w:r>
        <w:rPr>
          <w:lang w:val="pt-BR" w:eastAsia="pt-BR"/>
        </w:rPr>
        <w:t xml:space="preserve">”</w:t>
      </w:r>
      <w:r>
        <w:rPr>
          <w:lang w:val="pt-BR" w:eastAsia="pt-BR"/>
        </w:rPr>
        <w:t xml:space="preserve">) e a raiz relacionada à vida (</w:t>
      </w:r>
      <w:r>
        <w:rPr>
          <w:iCs/>
          <w:i/>
          <w:lang w:val="pt-BR" w:eastAsia="pt-BR"/>
        </w:rPr>
        <w:t xml:space="preserve">ḥ-y-y/ḥ-w-y</w:t>
      </w:r>
      <w:r>
        <w:rPr>
          <w:lang w:val="pt-BR" w:eastAsia="pt-BR"/>
        </w:rPr>
        <w:t xml:space="preserve"> </w:t>
      </w:r>
      <w:r>
        <w:rPr>
          <w:lang w:val="pt-BR" w:eastAsia="pt-BR"/>
        </w:rPr>
        <w:t xml:space="preserve">na história das formas).</w:t>
      </w:r>
    </w:p>
    <w:p>
      <w:pPr>
        <w:pStyle w:val="FirstParagraph"/>
      </w:pPr>
      <w:r>
        <w:rPr>
          <w:lang w:val="pt-BR" w:eastAsia="pt-BR"/>
        </w:rPr>
        <w:t xml:space="preserve">Esses jogos são evidência forte de composição ou redação hebraica. Não são evidência independente de que os personagens falavam hebraico. Um romance histórico em português pode fazer trocadilho português sobre César sem implicar que César falava português. Uma tradução pode recriar</w:t>
      </w:r>
      <w:r>
        <w:rPr>
          <w:lang w:val="pt-BR" w:eastAsia="pt-BR"/>
        </w:rPr>
        <w:t xml:space="preserve"> </w:t>
      </w:r>
      <w:r>
        <w:rPr>
          <w:lang w:val="pt-BR" w:eastAsia="pt-BR"/>
        </w:rPr>
        <w:t xml:space="preserve">“</w:t>
      </w:r>
      <w:r>
        <w:rPr>
          <w:lang w:val="pt-BR" w:eastAsia="pt-BR"/>
        </w:rPr>
        <w:t xml:space="preserve">homem/mulher</w:t>
      </w:r>
      <w:r>
        <w:rPr>
          <w:lang w:val="pt-BR" w:eastAsia="pt-BR"/>
        </w:rPr>
        <w:t xml:space="preserve">”</w:t>
      </w:r>
      <w:r>
        <w:rPr>
          <w:lang w:val="pt-BR" w:eastAsia="pt-BR"/>
        </w:rPr>
        <w:t xml:space="preserve"> </w:t>
      </w:r>
      <w:r>
        <w:rPr>
          <w:lang w:val="pt-BR" w:eastAsia="pt-BR"/>
        </w:rPr>
        <w:t xml:space="preserve">com</w:t>
      </w:r>
      <w:r>
        <w:rPr>
          <w:lang w:val="pt-BR" w:eastAsia="pt-BR"/>
        </w:rPr>
        <w:t xml:space="preserve"> </w:t>
      </w:r>
      <w:r>
        <w:rPr>
          <w:lang w:val="pt-BR" w:eastAsia="pt-BR"/>
        </w:rPr>
        <w:t xml:space="preserve">“</w:t>
      </w:r>
      <w:r>
        <w:rPr>
          <w:lang w:val="pt-BR" w:eastAsia="pt-BR"/>
        </w:rPr>
        <w:t xml:space="preserve">man/woman</w:t>
      </w:r>
      <w:r>
        <w:rPr>
          <w:lang w:val="pt-BR" w:eastAsia="pt-BR"/>
        </w:rPr>
        <w:t xml:space="preserve">”</w:t>
      </w:r>
      <w:r>
        <w:rPr>
          <w:lang w:val="pt-BR" w:eastAsia="pt-BR"/>
        </w:rPr>
        <w:t xml:space="preserve">, enquanto outras línguas precisam de nota; a traduzibilidade do efeito não altera a língua histórica da cena.</w:t>
      </w:r>
    </w:p>
    <w:p>
      <w:pPr>
        <w:pStyle w:val="BodyText"/>
      </w:pPr>
      <w:r>
        <w:rPr>
          <w:lang w:val="pt-BR" w:eastAsia="pt-BR"/>
        </w:rPr>
        <w:t xml:space="preserve">O argumento mais forte a favor responde que um narrador inspirado poderia preservar a etimologia original em hebraico. Isso é teologicamente possível dentro de certas doutrinas, mas acrescenta uma premissa não testada: que a forma hebraica reproduz o som original, e não adapta o significado. A linguística não pode usar essa premissa para provar a própria conclusão.</w:t>
      </w:r>
    </w:p>
    <w:bookmarkEnd w:id="91"/>
    <w:bookmarkStart w:id="92" w:name="gênesis-10-povos-e-línguas"/>
    <w:p>
      <w:pPr>
        <w:pStyle w:val="Heading2"/>
      </w:pPr>
      <w:r>
        <w:rPr>
          <w:lang w:val="pt-BR" w:eastAsia="pt-BR"/>
        </w:rPr>
        <w:t xml:space="preserve">15.2 Gênesis 10: povos e línguas</w:t>
      </w:r>
    </w:p>
    <w:p>
      <w:pPr>
        <w:pStyle w:val="FirstParagraph"/>
      </w:pPr>
      <w:r>
        <w:rPr>
          <w:lang w:val="pt-BR" w:eastAsia="pt-BR"/>
        </w:rPr>
        <w:t xml:space="preserve">Gênesis 10:5, 20 e 31 organiza descendentes</w:t>
      </w:r>
      <w:r>
        <w:rPr>
          <w:lang w:val="pt-BR" w:eastAsia="pt-BR"/>
        </w:rPr>
        <w:t xml:space="preserve"> </w:t>
      </w:r>
      <w:r>
        <w:rPr>
          <w:lang w:val="pt-BR" w:eastAsia="pt-BR"/>
        </w:rPr>
        <w:t xml:space="preserve">“</w:t>
      </w:r>
      <w:r>
        <w:rPr>
          <w:lang w:val="pt-BR" w:eastAsia="pt-BR"/>
        </w:rPr>
        <w:t xml:space="preserve">segundo suas terras, línguas, famílias e nações</w:t>
      </w:r>
      <w:r>
        <w:rPr>
          <w:lang w:val="pt-BR" w:eastAsia="pt-BR"/>
        </w:rPr>
        <w:t xml:space="preserve">”</w:t>
      </w:r>
      <w:r>
        <w:rPr>
          <w:lang w:val="pt-BR" w:eastAsia="pt-BR"/>
        </w:rPr>
        <w:t xml:space="preserve">. Na ordem canônica, essa diversidade aparece antes da narrativa de Babel. Leitores tradicionais podem entender o capítulo 10 como antecipação temática dos resultados de Gênesis 11. A crítica das fontes observa vocabulário, estilo e interesses distintos, associando material a estratos sacerdotais e não sacerdotais em modelos variados (Carr 2020; Hendel 2024).</w:t>
      </w:r>
    </w:p>
    <w:p>
      <w:pPr>
        <w:pStyle w:val="BodyText"/>
      </w:pPr>
      <w:r>
        <w:rPr>
          <w:lang w:val="pt-BR" w:eastAsia="pt-BR"/>
        </w:rPr>
        <w:t xml:space="preserve">Nenhuma leitura resolve a identidade da língua única como hebraico. A harmonização explica a ordem narrativa; a análise composicional explica a tensão literária. Ambas precisam de evidência adicional para nomear o idioma.</w:t>
      </w:r>
    </w:p>
    <w:bookmarkEnd w:id="92"/>
    <w:bookmarkStart w:id="93" w:name="gênesis-1119"/>
    <w:p>
      <w:pPr>
        <w:pStyle w:val="Heading2"/>
      </w:pPr>
      <w:r>
        <w:rPr>
          <w:lang w:val="pt-BR" w:eastAsia="pt-BR"/>
        </w:rPr>
        <w:t xml:space="preserve">15.3 Gênesis 11:1–9</w:t>
      </w:r>
    </w:p>
    <w:p>
      <w:pPr>
        <w:pStyle w:val="FirstParagraph"/>
      </w:pPr>
      <w:r>
        <w:rPr>
          <w:lang w:val="pt-BR" w:eastAsia="pt-BR"/>
        </w:rPr>
        <w:t xml:space="preserve">O texto diz que</w:t>
      </w:r>
      <w:r>
        <w:rPr>
          <w:lang w:val="pt-BR" w:eastAsia="pt-BR"/>
        </w:rPr>
        <w:t xml:space="preserve"> </w:t>
      </w:r>
      <w:r>
        <w:rPr>
          <w:lang w:val="pt-BR" w:eastAsia="pt-BR"/>
        </w:rPr>
        <w:t xml:space="preserve">“</w:t>
      </w:r>
      <w:r>
        <w:rPr>
          <w:lang w:val="pt-BR" w:eastAsia="pt-BR"/>
        </w:rPr>
        <w:t xml:space="preserve">toda a terra tinha uma só língua [</w:t>
      </w:r>
      <w:r>
        <w:rPr>
          <w:iCs/>
          <w:i/>
          <w:lang w:val="pt-BR" w:eastAsia="pt-BR"/>
        </w:rPr>
        <w:t xml:space="preserve">śāpâ</w:t>
      </w:r>
      <w:r>
        <w:rPr>
          <w:lang w:val="pt-BR" w:eastAsia="pt-BR"/>
        </w:rPr>
        <w:t xml:space="preserve">,</w:t>
      </w:r>
      <w:r>
        <w:rPr>
          <w:lang w:val="pt-BR" w:eastAsia="pt-BR"/>
        </w:rPr>
        <w:t xml:space="preserve"> </w:t>
      </w:r>
      <w:r>
        <w:rPr>
          <w:lang w:val="pt-BR" w:eastAsia="pt-BR"/>
        </w:rPr>
        <w:t xml:space="preserve">‘</w:t>
      </w:r>
      <w:r>
        <w:rPr>
          <w:lang w:val="pt-BR" w:eastAsia="pt-BR"/>
        </w:rPr>
        <w:t xml:space="preserve">lábio</w:t>
      </w:r>
      <w:r>
        <w:rPr>
          <w:lang w:val="pt-BR" w:eastAsia="pt-BR"/>
        </w:rPr>
        <w:t xml:space="preserve">’</w:t>
      </w:r>
      <w:r>
        <w:rPr>
          <w:lang w:val="pt-BR" w:eastAsia="pt-BR"/>
        </w:rPr>
        <w:t xml:space="preserve">] e as mesmas palavras</w:t>
      </w:r>
      <w:r>
        <w:rPr>
          <w:lang w:val="pt-BR" w:eastAsia="pt-BR"/>
        </w:rPr>
        <w:t xml:space="preserve">”</w:t>
      </w:r>
      <w:r>
        <w:rPr>
          <w:lang w:val="pt-BR" w:eastAsia="pt-BR"/>
        </w:rPr>
        <w:t xml:space="preserve">. Deus confunde a linguagem e dispersa os construtores. O nome Babel é associado à raiz hebraica</w:t>
      </w:r>
      <w:r>
        <w:rPr>
          <w:lang w:val="pt-BR" w:eastAsia="pt-BR"/>
        </w:rPr>
        <w:t xml:space="preserve"> </w:t>
      </w:r>
      <w:r>
        <w:rPr>
          <w:iCs/>
          <w:i/>
          <w:lang w:val="pt-BR" w:eastAsia="pt-BR"/>
        </w:rPr>
        <w:t xml:space="preserve">b-l-l</w:t>
      </w:r>
      <w:r>
        <w:rPr>
          <w:lang w:val="pt-BR" w:eastAsia="pt-BR"/>
        </w:rPr>
        <w:t xml:space="preserve">,</w:t>
      </w:r>
      <w:r>
        <w:rPr>
          <w:lang w:val="pt-BR" w:eastAsia="pt-BR"/>
        </w:rPr>
        <w:t xml:space="preserve"> </w:t>
      </w:r>
      <w:r>
        <w:rPr>
          <w:lang w:val="pt-BR" w:eastAsia="pt-BR"/>
        </w:rPr>
        <w:t xml:space="preserve">“</w:t>
      </w:r>
      <w:r>
        <w:rPr>
          <w:lang w:val="pt-BR" w:eastAsia="pt-BR"/>
        </w:rPr>
        <w:t xml:space="preserve">confundir/misturar</w:t>
      </w:r>
      <w:r>
        <w:rPr>
          <w:lang w:val="pt-BR" w:eastAsia="pt-BR"/>
        </w:rPr>
        <w:t xml:space="preserve">”</w:t>
      </w:r>
      <w:r>
        <w:rPr>
          <w:lang w:val="pt-BR" w:eastAsia="pt-BR"/>
        </w:rPr>
        <w:t xml:space="preserve">. A etimologia histórica de Babilônia, porém, é acadiana (</w:t>
      </w:r>
      <w:r>
        <w:rPr>
          <w:iCs/>
          <w:i/>
          <w:lang w:val="pt-BR" w:eastAsia="pt-BR"/>
        </w:rPr>
        <w:t xml:space="preserve">Bāb-ilim/Bāb-ilī</w:t>
      </w:r>
      <w:r>
        <w:rPr>
          <w:lang w:val="pt-BR" w:eastAsia="pt-BR"/>
        </w:rPr>
        <w:t xml:space="preserve">,</w:t>
      </w:r>
      <w:r>
        <w:rPr>
          <w:lang w:val="pt-BR" w:eastAsia="pt-BR"/>
        </w:rPr>
        <w:t xml:space="preserve"> </w:t>
      </w:r>
      <w:r>
        <w:rPr>
          <w:lang w:val="pt-BR" w:eastAsia="pt-BR"/>
        </w:rPr>
        <w:t xml:space="preserve">“</w:t>
      </w:r>
      <w:r>
        <w:rPr>
          <w:lang w:val="pt-BR" w:eastAsia="pt-BR"/>
        </w:rPr>
        <w:t xml:space="preserve">Porta do deus/dos deuses</w:t>
      </w:r>
      <w:r>
        <w:rPr>
          <w:lang w:val="pt-BR" w:eastAsia="pt-BR"/>
        </w:rPr>
        <w:t xml:space="preserve">”</w:t>
      </w:r>
      <w:r>
        <w:rPr>
          <w:lang w:val="pt-BR" w:eastAsia="pt-BR"/>
        </w:rPr>
        <w:t xml:space="preserve">), de modo que Gênesis oferece um jogo explicativo hebraico, não uma derivação filológica babilônica.</w:t>
      </w:r>
    </w:p>
    <w:p>
      <w:pPr>
        <w:pStyle w:val="BodyText"/>
      </w:pPr>
      <w:r>
        <w:rPr>
          <w:lang w:val="pt-BR" w:eastAsia="pt-BR"/>
        </w:rPr>
        <w:t xml:space="preserve">Isso reforça a distinção central: o narrador hebraico interpreta nomes estrangeiros por recursos hebraicos. O procedimento é literário e teológico. Não identifica a língua pré-Babel.</w:t>
      </w:r>
    </w:p>
    <w:bookmarkEnd w:id="93"/>
    <w:bookmarkStart w:id="94" w:name="análise-histórico-crítica"/>
    <w:p>
      <w:pPr>
        <w:pStyle w:val="Heading2"/>
      </w:pPr>
      <w:r>
        <w:rPr>
          <w:lang w:val="pt-BR" w:eastAsia="pt-BR"/>
        </w:rPr>
        <w:t xml:space="preserve">15.4 Análise histórico-crítica</w:t>
      </w:r>
    </w:p>
    <w:p>
      <w:pPr>
        <w:pStyle w:val="FirstParagraph"/>
      </w:pPr>
      <w:r>
        <w:rPr>
          <w:lang w:val="pt-BR" w:eastAsia="pt-BR"/>
        </w:rPr>
        <w:t xml:space="preserve">A forma final de Gênesis 1–11 combina e reelabora tradições mesopotâmicas, genealogias e narrativas de origem. Datas e modelos composicionais são debatidos, mas a maioria da pesquisa crítica não trata o conjunto como relatório linguístico moderno. A narrativa de Babel explica teologicamente diversidade, urbanização, orgulho e dispersão; não oferece listas de correspondências ou uma cronologia epigráfica.</w:t>
      </w:r>
    </w:p>
    <w:p>
      <w:pPr>
        <w:pStyle w:val="BodyText"/>
      </w:pPr>
      <w:r>
        <w:rPr>
          <w:lang w:val="pt-BR" w:eastAsia="pt-BR"/>
        </w:rPr>
        <w:t xml:space="preserve">Essa conclusão não</w:t>
      </w:r>
      <w:r>
        <w:rPr>
          <w:lang w:val="pt-BR" w:eastAsia="pt-BR"/>
        </w:rPr>
        <w:t xml:space="preserve"> </w:t>
      </w:r>
      <w:r>
        <w:rPr>
          <w:lang w:val="pt-BR" w:eastAsia="pt-BR"/>
        </w:rPr>
        <w:t xml:space="preserve">“</w:t>
      </w:r>
      <w:r>
        <w:rPr>
          <w:lang w:val="pt-BR" w:eastAsia="pt-BR"/>
        </w:rPr>
        <w:t xml:space="preserve">refuta</w:t>
      </w:r>
      <w:r>
        <w:rPr>
          <w:lang w:val="pt-BR" w:eastAsia="pt-BR"/>
        </w:rPr>
        <w:t xml:space="preserve">”</w:t>
      </w:r>
      <w:r>
        <w:rPr>
          <w:lang w:val="pt-BR" w:eastAsia="pt-BR"/>
        </w:rPr>
        <w:t xml:space="preserve"> </w:t>
      </w:r>
      <w:r>
        <w:rPr>
          <w:lang w:val="pt-BR" w:eastAsia="pt-BR"/>
        </w:rPr>
        <w:t xml:space="preserve">o valor religioso do texto. Ela delimita o tipo de pergunta que o texto responde. Usar Gênesis como evidência independente de que a língua de Gênesis era a língua dos personagens é raciocínio circular, a menos que a inspiração verbal e a conservação fonética sejam defendidas por argumentos externos.</w:t>
      </w:r>
    </w:p>
    <w:bookmarkEnd w:id="94"/>
    <w:bookmarkEnd w:id="95"/>
    <w:bookmarkStart w:id="98" w:name="X3a149d83572e8055f24e5689083de3b60ed8397"/>
    <w:p>
      <w:bookmarkStart w:id="517" w:name="sec_018"/>
      <w:pPr>
        <w:pStyle w:val="Heading1"/>
        <w:pBdr>
          <w:bottom w:val="single" w:sz="12" w:space="6" w:color="C4942F"/>
        </w:pBdr>
      </w:pPr>
      <w:r>
        <w:rPr>
          <w:lang w:val="pt-BR" w:eastAsia="pt-BR"/>
        </w:rPr>
        <w:t xml:space="preserve">16. Teste dos argumentos populares favoráveis</w:t>
      </w:r>
      <w:bookmarkEnd w:id="517"/>
    </w:p>
    <w:bookmarkStart w:id="96" w:name="matriz-alegação-teste"/>
    <w:p>
      <w:pPr>
        <w:pStyle w:val="Heading2"/>
      </w:pPr>
      <w:r>
        <w:rPr>
          <w:lang w:val="pt-BR" w:eastAsia="pt-BR"/>
        </w:rPr>
        <w:t xml:space="preserve">16.1 Matriz alegação → teste</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1928"/>
        <w:gridCol w:w="1928"/>
        <w:gridCol w:w="1928"/>
        <w:gridCol w:w="1928"/>
        <w:gridCol w:w="1928"/>
      </w:tblGrid>
      <w:tr>
        <w:trPr>
          <w:tblHeader w:val="true"/>
          <w:cantSplit/>
        </w:trPr>
        <w:tc>
          <w:tcPr>
            <w:tcW w:type="dxa" w:w="1928"/>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ALEGAÇÃO</w:t>
            </w:r>
          </w:p>
        </w:tc>
        <w:tc>
          <w:tcPr>
            <w:tcW w:type="dxa" w:w="1928"/>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EVIDÊNCIA APRESENTADA</w:t>
            </w:r>
          </w:p>
        </w:tc>
        <w:tc>
          <w:tcPr>
            <w:tcW w:type="dxa" w:w="1928"/>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TESTE LINGUÍSTICO</w:t>
            </w:r>
          </w:p>
        </w:tc>
        <w:tc>
          <w:tcPr>
            <w:tcW w:type="dxa" w:w="1928"/>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PROBLEMAS</w:t>
            </w:r>
          </w:p>
        </w:tc>
        <w:tc>
          <w:tcPr>
            <w:tcW w:type="dxa" w:w="1928"/>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CONCLUSÃO</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Adão vem de ʾădāmâ, logo Adão falou hebraico</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Jogo de palavras em Gn 2</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Verificar se a forma pertence ao narrador ou à fala citada; buscar confirmação externa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Nomes são traduzidos/adaptados; circularidade; personagem inacessível historicamente</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Prova composição hebraica, não a fala de Adão</w:t>
            </w:r>
          </w:p>
        </w:tc>
      </w:tr>
      <w:tr>
        <w:trPr>
          <w:cantSplit/>
        </w:trPr>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“Mulher” (ʾiššâ) vem de “homem” (ʾîš)</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Gn 2:23; tradição rabínica</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Examinar história fonológica real e função literária</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 etimologia popular no verso não garante derivação morfológica histórica simples; traduções recriam trocadilhos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Argumento teológico/literário, não filogenia mundial</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Eva significa “mãe dos viventes”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Associação de Ḥawwâ com vida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Comparar raiz, fonologia e cognatos semíticos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Etimologia interna de nome não identifica idioma universal</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 valor para ancestralidade de outras famílias</w:t>
            </w:r>
          </w:p>
        </w:tc>
      </w:tr>
      <w:tr>
        <w:trPr>
          <w:cantSplit/>
        </w:trPr>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Nomes dos patriarcas são explicáveis em hebraico</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Etimologias narrativas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Distinguir nome semítico, etimologia popular e redação</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Nomes podem ser semíticos ocidentais, reinterpretados ou teofóricos; isso não alcança línguas não semíticas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Mostra ambiente semítico do texto/tradição</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Babel pressupõe hebraico antes da confusão</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Bíblia está em hebraico; Agostinho/Héber</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Perguntar se Gn 11 nomeia a língua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Não nomeia; Babel/bālal é jogo hebraico sobre nome acadiano</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Identificação posterior, não declaração explícita</w:t>
            </w:r>
          </w:p>
        </w:tc>
      </w:tr>
      <w:tr>
        <w:trPr>
          <w:cantSplit/>
        </w:trPr>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Palavras do mundo inteiro se parecem com hebraico</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Listas “edênicas”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Exigir correspondências regulares, morfologia e probabilidade de acaso</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Seleção de sons, significados elásticos, ausência de séries, formas modernas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Não demonstra parentesco</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Hebraico possui raízes de três consoantes “universais”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Estrutura semítica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Comparar tipologia e história morfológica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Muitas línguas não usam esse sistema; outras semíticas o compartilham por ancestral comum</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Traço semítico, não humano primordial</w:t>
            </w:r>
          </w:p>
        </w:tc>
      </w:tr>
      <w:tr>
        <w:trPr>
          <w:cantSplit/>
        </w:trPr>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Hebraico é a escrita alfabética mais antiga</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Leitura hebraica de inscrições proto-sinaíticas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Separar letras de língua; revisar leituras e paleografia</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Inscrições iniciais são cananeias/alfabéticas e curtas; atribuição hebraica é contestada; alfabeto antecede hebraico diagnosticável</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Alegação não sustentada</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Todos os alfabetos derivam do hebraico</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Semelhança entre letras paleo-hebraicas, fenícias e posteriores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Construir genealogia gráfica e datar inscrições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Paleo-hebraico e fenício são ramos/estilos de tradição anterior; escrita não determina filiação linguística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Confunde história da escrita com língua</w:t>
            </w:r>
          </w:p>
        </w:tc>
      </w:tr>
      <w:tr>
        <w:trPr>
          <w:cantSplit/>
        </w:trPr>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Sumério contém palavras hebraicas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Pares isolados em listas populares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Testar som, morfologia, cronologia e empréstimo</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Sumério é isolado; contato via acadiano; ausência de paradigmas compartilhados</w:t>
            </w:r>
          </w:p>
        </w:tc>
        <w:tc>
          <w:tcPr>
            <w:tcW w:type="dxa" w:w="1928"/>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Não há demonstração genética</w:t>
            </w:r>
          </w:p>
        </w:tc>
      </w:tr>
      <w:tr>
        <w:trPr>
          <w:cantSplit/>
        </w:trPr>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Hebraico mudou pouco e por isso é original</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Continuidade bíblica/litúrgica</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Comparar hebraico antigo, tiberiense, mishnaico e moderno</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Mudanças fonológicas, sintáticas, lexicais e sociolinguísticas substanciais</w:t>
            </w:r>
          </w:p>
        </w:tc>
        <w:tc>
          <w:tcPr>
            <w:tcW w:type="dxa" w:w="1928"/>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Continuidade cultural não é imobilidade linguística</w:t>
            </w:r>
          </w:p>
        </w:tc>
      </w:tr>
    </w:tbl>
    <w:bookmarkEnd w:id="96"/>
    <w:bookmarkStart w:id="97" w:name="X066445ae2fb79a1d728d58b369a1de71c0d1536"/>
    <w:p>
      <w:pPr>
        <w:pStyle w:val="Heading2"/>
      </w:pPr>
      <w:r>
        <w:rPr>
          <w:lang w:val="pt-BR" w:eastAsia="pt-BR"/>
        </w:rPr>
        <w:t xml:space="preserve">16.2 A versão mais forte do argumento religioso</w:t>
      </w:r>
    </w:p>
    <w:p>
      <w:pPr>
        <w:pStyle w:val="FirstParagraph"/>
      </w:pPr>
      <w:r>
        <w:rPr>
          <w:lang w:val="pt-BR" w:eastAsia="pt-BR"/>
        </w:rPr>
        <w:t xml:space="preserve">A versão mais forte não depende de listas de palavras. Ela afirma: uma revelação confiável descreve uma humanidade inicialmente unilíngue; o texto hebraico preserva nomes e trocadilhos originais; logo, a língua era hebraico. Essa formulação é internamente coerente se quatro premissas teológicas forem aceitas: historicidade estrita da narrativa, preservação fonética dos nomes, identidade entre idioma da revelação e idioma dos eventos, e transmissão sem tradução/adaptação.</w:t>
      </w:r>
    </w:p>
    <w:p>
      <w:pPr>
        <w:pStyle w:val="BodyText"/>
      </w:pPr>
      <w:r>
        <w:rPr>
          <w:lang w:val="pt-BR" w:eastAsia="pt-BR"/>
        </w:rPr>
        <w:t xml:space="preserve">O teste acadêmico não declara essas premissas metafisicamente impossíveis. Ele pergunta se são confirmadas independentemente. Não são. Além disso, a filogenia semítica fornece evidência positiva de que o hebraico conhecido é uma filha cananeia. Assim, para manter a hipótese, seria necessário postular um</w:t>
      </w:r>
      <w:r>
        <w:rPr>
          <w:lang w:val="pt-BR" w:eastAsia="pt-BR"/>
        </w:rPr>
        <w:t xml:space="preserve"> </w:t>
      </w:r>
      <w:r>
        <w:rPr>
          <w:lang w:val="pt-BR" w:eastAsia="pt-BR"/>
        </w:rPr>
        <w:t xml:space="preserve">“</w:t>
      </w:r>
      <w:r>
        <w:rPr>
          <w:lang w:val="pt-BR" w:eastAsia="pt-BR"/>
        </w:rPr>
        <w:t xml:space="preserve">hebraico adâmico</w:t>
      </w:r>
      <w:r>
        <w:rPr>
          <w:lang w:val="pt-BR" w:eastAsia="pt-BR"/>
        </w:rPr>
        <w:t xml:space="preserve">”</w:t>
      </w:r>
      <w:r>
        <w:rPr>
          <w:lang w:val="pt-BR" w:eastAsia="pt-BR"/>
        </w:rPr>
        <w:t xml:space="preserve"> </w:t>
      </w:r>
      <w:r>
        <w:rPr>
          <w:lang w:val="pt-BR" w:eastAsia="pt-BR"/>
        </w:rPr>
        <w:t xml:space="preserve">sem os traços diagnósticos do hebraico histórico. Nesse ponto, o nome</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perde conteúdo linguístico verificável.</w:t>
      </w:r>
    </w:p>
    <w:bookmarkEnd w:id="97"/>
    <w:bookmarkEnd w:id="98"/>
    <w:bookmarkStart w:id="103" w:name="X67fc0c2e8495442541235580b4578c797d4a4fd"/>
    <w:p>
      <w:bookmarkStart w:id="518" w:name="sec_019"/>
      <w:pPr>
        <w:pStyle w:val="Heading1"/>
        <w:pBdr>
          <w:bottom w:val="single" w:sz="12" w:space="6" w:color="C4942F"/>
        </w:pBdr>
      </w:pPr>
      <w:r>
        <w:rPr>
          <w:lang w:val="pt-BR" w:eastAsia="pt-BR"/>
        </w:rPr>
        <w:t xml:space="preserve">17. Falsificabilidade e comparação de modelos</w:t>
      </w:r>
      <w:bookmarkEnd w:id="518"/>
    </w:p>
    <w:bookmarkStart w:id="99" w:name="X0c04135cbf3afaff228c07e5f37443101119c31"/>
    <w:p>
      <w:pPr>
        <w:pStyle w:val="Heading2"/>
      </w:pPr>
      <w:r>
        <w:rPr>
          <w:lang w:val="pt-BR" w:eastAsia="pt-BR"/>
        </w:rPr>
        <w:t xml:space="preserve">17.1 Se todas as línguas descendessem do hebraico, o que esperaríamos?</w:t>
      </w:r>
    </w:p>
    <w:p>
      <w:pPr>
        <w:numPr>
          <w:ilvl w:val="0"/>
          <w:numId w:val="1010"/>
        </w:numPr>
        <w:pStyle w:val="Compact"/>
      </w:pPr>
      <w:r>
        <w:rPr>
          <w:lang w:val="pt-BR" w:eastAsia="pt-BR"/>
        </w:rPr>
        <w:t xml:space="preserve">correspondências fonéticas regulares ligando raízes hebraicas antigas ao vocabulário básico de cada família;</w:t>
      </w:r>
    </w:p>
    <w:p>
      <w:pPr>
        <w:numPr>
          <w:ilvl w:val="0"/>
          <w:numId w:val="1010"/>
        </w:numPr>
        <w:pStyle w:val="Compact"/>
      </w:pPr>
      <w:r>
        <w:rPr>
          <w:lang w:val="pt-BR" w:eastAsia="pt-BR"/>
        </w:rPr>
        <w:t xml:space="preserve">resíduos sistemáticos de morfologia hebraica — pronomes, gênero, plurais, conjugação — em estágios reconstruídos;</w:t>
      </w:r>
    </w:p>
    <w:p>
      <w:pPr>
        <w:numPr>
          <w:ilvl w:val="0"/>
          <w:numId w:val="1010"/>
        </w:numPr>
        <w:pStyle w:val="Compact"/>
      </w:pPr>
      <w:r>
        <w:rPr>
          <w:lang w:val="pt-BR" w:eastAsia="pt-BR"/>
        </w:rPr>
        <w:t xml:space="preserve">árvores intermediárias nas quais Proto-Indo-Europeu, Proto-Sino-Tibetano etc. aparecessem como transformações deriváveis do hebraico;</w:t>
      </w:r>
    </w:p>
    <w:p>
      <w:pPr>
        <w:numPr>
          <w:ilvl w:val="0"/>
          <w:numId w:val="1010"/>
        </w:numPr>
        <w:pStyle w:val="Compact"/>
      </w:pPr>
      <w:r>
        <w:rPr>
          <w:lang w:val="pt-BR" w:eastAsia="pt-BR"/>
        </w:rPr>
        <w:t xml:space="preserve">cronologia em que o estágio ancestral hebraico antecedesse as divergências e registros das filhas;</w:t>
      </w:r>
    </w:p>
    <w:p>
      <w:pPr>
        <w:numPr>
          <w:ilvl w:val="0"/>
          <w:numId w:val="1010"/>
        </w:numPr>
        <w:pStyle w:val="Compact"/>
      </w:pPr>
      <w:r>
        <w:rPr>
          <w:lang w:val="pt-BR" w:eastAsia="pt-BR"/>
        </w:rPr>
        <w:t xml:space="preserve">uma distribuição geográfica e arqueológica capaz de explicar a expansão;</w:t>
      </w:r>
    </w:p>
    <w:p>
      <w:pPr>
        <w:numPr>
          <w:ilvl w:val="0"/>
          <w:numId w:val="1010"/>
        </w:numPr>
        <w:pStyle w:val="Compact"/>
      </w:pPr>
      <w:r>
        <w:rPr>
          <w:lang w:val="pt-BR" w:eastAsia="pt-BR"/>
        </w:rPr>
        <w:t xml:space="preserve">redução de irregularidades quando a hipótese é aplicada, em vez de regras diferentes para cada par de palavras;</w:t>
      </w:r>
    </w:p>
    <w:p>
      <w:pPr>
        <w:numPr>
          <w:ilvl w:val="0"/>
          <w:numId w:val="1010"/>
        </w:numPr>
        <w:pStyle w:val="Compact"/>
      </w:pPr>
      <w:r>
        <w:rPr>
          <w:lang w:val="pt-BR" w:eastAsia="pt-BR"/>
        </w:rPr>
        <w:t xml:space="preserve">capacidade preditiva: prever uma forma ainda não usada na comparação.</w:t>
      </w:r>
    </w:p>
    <w:bookmarkEnd w:id="99"/>
    <w:bookmarkStart w:id="100" w:name="o-que-os-dados-mostram"/>
    <w:p>
      <w:pPr>
        <w:pStyle w:val="Heading2"/>
      </w:pPr>
      <w:r>
        <w:rPr>
          <w:lang w:val="pt-BR" w:eastAsia="pt-BR"/>
        </w:rPr>
        <w:t xml:space="preserve">17.2 O que os dados mostram</w:t>
      </w:r>
    </w:p>
    <w:p>
      <w:pPr>
        <w:pStyle w:val="FirstParagraph"/>
      </w:pPr>
      <w:r>
        <w:rPr>
          <w:lang w:val="pt-BR" w:eastAsia="pt-BR"/>
        </w:rPr>
        <w:t xml:space="preserve">Famílias bem estabelecidas possuem seus próprios sistemas de correspondências e proto-línguas. Proto-Indo-Europeu reconstrói flexão nominal e verbal que não deriva da morfologia hebraica; austronésio possui evidências próprias em pronomes, numerais e morfologia de voz; sino-tibetano, nígero-congolês e outras famílias têm histórias independentes, mesmo onde suas árvores internas são disputadas. Semelhanças ocasionais com hebraico não se alinham em regras comuns.</w:t>
      </w:r>
    </w:p>
    <w:p>
      <w:pPr>
        <w:pStyle w:val="BodyText"/>
      </w:pPr>
      <w:r>
        <w:rPr>
          <w:lang w:val="pt-BR" w:eastAsia="pt-BR"/>
        </w:rPr>
        <w:t xml:space="preserve">Não existe série de estágios</w:t>
      </w:r>
      <w:r>
        <w:rPr>
          <w:lang w:val="pt-BR" w:eastAsia="pt-BR"/>
        </w:rPr>
        <w:t xml:space="preserve"> </w:t>
      </w:r>
      <w:r>
        <w:rPr>
          <w:lang w:val="pt-BR" w:eastAsia="pt-BR"/>
        </w:rPr>
        <w:t xml:space="preserve">“</w:t>
      </w:r>
      <w:r>
        <w:rPr>
          <w:lang w:val="pt-BR" w:eastAsia="pt-BR"/>
        </w:rPr>
        <w:t xml:space="preserve">hebraico → Proto-Indo-Europeu → germânico</w:t>
      </w:r>
      <w:r>
        <w:rPr>
          <w:lang w:val="pt-BR" w:eastAsia="pt-BR"/>
        </w:rPr>
        <w:t xml:space="preserve">”</w:t>
      </w:r>
      <w:r>
        <w:rPr>
          <w:lang w:val="pt-BR" w:eastAsia="pt-BR"/>
        </w:rPr>
        <w:t xml:space="preserve">, nem documentação de uma expansão hebraica pré-histórica global. As datas propostas para proto-línguas não podem ser encaixadas numa fase de hebraico histórico. O modelo falha justamente onde uma genealogia deveria ser mais forte: morfologia e correspondências regulares.</w:t>
      </w:r>
    </w:p>
    <w:bookmarkEnd w:id="100"/>
    <w:bookmarkStart w:id="101" w:name="Xc734505bb00e6f4dd7c1ce21a3d58c10126d3e2"/>
    <w:p>
      <w:pPr>
        <w:pStyle w:val="Heading2"/>
      </w:pPr>
      <w:r>
        <w:rPr>
          <w:lang w:val="pt-BR" w:eastAsia="pt-BR"/>
        </w:rPr>
        <w:t xml:space="preserve">17.3 Se o hebraico fosse um ramo relativamente tardio, o que esperaríamos?</w:t>
      </w:r>
    </w:p>
    <w:p>
      <w:pPr>
        <w:numPr>
          <w:ilvl w:val="0"/>
          <w:numId w:val="1011"/>
        </w:numPr>
        <w:pStyle w:val="Compact"/>
      </w:pPr>
      <w:r>
        <w:rPr>
          <w:lang w:val="pt-BR" w:eastAsia="pt-BR"/>
        </w:rPr>
        <w:t xml:space="preserve">línguas semíticas mais antigas documentadas;</w:t>
      </w:r>
    </w:p>
    <w:p>
      <w:pPr>
        <w:numPr>
          <w:ilvl w:val="0"/>
          <w:numId w:val="1011"/>
        </w:numPr>
        <w:pStyle w:val="Compact"/>
      </w:pPr>
      <w:r>
        <w:rPr>
          <w:lang w:val="pt-BR" w:eastAsia="pt-BR"/>
        </w:rPr>
        <w:t xml:space="preserve">traços ancestrais distribuídos entre diferentes filhas;</w:t>
      </w:r>
    </w:p>
    <w:p>
      <w:pPr>
        <w:numPr>
          <w:ilvl w:val="0"/>
          <w:numId w:val="1011"/>
        </w:numPr>
        <w:pStyle w:val="Compact"/>
      </w:pPr>
      <w:r>
        <w:rPr>
          <w:lang w:val="pt-BR" w:eastAsia="pt-BR"/>
        </w:rPr>
        <w:t xml:space="preserve">inovações compartilhadas com cananeu e inovações exclusivas do hebraico;</w:t>
      </w:r>
    </w:p>
    <w:p>
      <w:pPr>
        <w:numPr>
          <w:ilvl w:val="0"/>
          <w:numId w:val="1011"/>
        </w:numPr>
        <w:pStyle w:val="Compact"/>
      </w:pPr>
      <w:r>
        <w:rPr>
          <w:lang w:val="pt-BR" w:eastAsia="pt-BR"/>
        </w:rPr>
        <w:t xml:space="preserve">inscrições iniciais difíceis de separar num contínuo dialetal;</w:t>
      </w:r>
    </w:p>
    <w:p>
      <w:pPr>
        <w:numPr>
          <w:ilvl w:val="0"/>
          <w:numId w:val="1011"/>
        </w:numPr>
        <w:pStyle w:val="Compact"/>
      </w:pPr>
      <w:r>
        <w:rPr>
          <w:lang w:val="pt-BR" w:eastAsia="pt-BR"/>
        </w:rPr>
        <w:t xml:space="preserve">ausência de hebraico nas reconstruções de famílias não afro-asiáticas;</w:t>
      </w:r>
    </w:p>
    <w:p>
      <w:pPr>
        <w:numPr>
          <w:ilvl w:val="0"/>
          <w:numId w:val="1011"/>
        </w:numPr>
        <w:pStyle w:val="Compact"/>
      </w:pPr>
      <w:r>
        <w:rPr>
          <w:lang w:val="pt-BR" w:eastAsia="pt-BR"/>
        </w:rPr>
        <w:t xml:space="preserve">contato e empréstimo com vizinhos sem transformar essas línguas em descendentes.</w:t>
      </w:r>
    </w:p>
    <w:p>
      <w:pPr>
        <w:pStyle w:val="FirstParagraph"/>
      </w:pPr>
      <w:r>
        <w:rPr>
          <w:lang w:val="pt-BR" w:eastAsia="pt-BR"/>
        </w:rPr>
        <w:t xml:space="preserve">Todos esses padrões são observados. O modelo filogenético padrão tem maior alcance, precisão e capacidade de teste.</w:t>
      </w:r>
    </w:p>
    <w:bookmarkEnd w:id="101"/>
    <w:bookmarkStart w:id="102" w:name="comparação-formal"/>
    <w:p>
      <w:pPr>
        <w:pStyle w:val="Heading2"/>
      </w:pPr>
      <w:r>
        <w:rPr>
          <w:lang w:val="pt-BR" w:eastAsia="pt-BR"/>
        </w:rPr>
        <w:t xml:space="preserve">17.4 Comparação formal</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Critério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Modelo “origem hebraica universal”</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Modelo “hebraico como ramo cananeu”</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Correspondências sonoras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Não fornece conjunto mundial regular</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Explica reflexos semíticos recorrentes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Morfologia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Requer perdas e recriações em massa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Reconstrói paradigmas acima das filhas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Cronologia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Postula hebraico não documentado antes de sua definição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Compatível com acadiano/eblaíta anteriores e hebraico da Idade do Ferro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Epigrafia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Reclassifica alfabetos antigos como hebraicos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Distingue escrita, língua e contínuo dialetal</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Geografia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Requer dispersão mundial sem trilha própria</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Ajusta-se ao Levante cananeu e contatos regionais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Poder preditivo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Baixo; pares escolhidos após observação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Alto; prevê reflexos e formas reconstruídas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Hipóteses auxiliares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Numerosas e não independentes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Menores e verificáveis</w:t>
            </w:r>
          </w:p>
        </w:tc>
      </w:tr>
    </w:tbl>
    <w:bookmarkEnd w:id="102"/>
    <w:bookmarkEnd w:id="103"/>
    <w:bookmarkStart w:id="105" w:name="X83812bb42e19e4c34136ee640ee57502a86f34d"/>
    <w:p>
      <w:bookmarkStart w:id="519" w:name="sec_020"/>
      <w:pPr>
        <w:pStyle w:val="Heading1"/>
        <w:pBdr>
          <w:bottom w:val="single" w:sz="12" w:space="6" w:color="C4942F"/>
        </w:pBdr>
      </w:pPr>
      <w:r>
        <w:rPr>
          <w:lang w:val="pt-BR" w:eastAsia="pt-BR"/>
        </w:rPr>
        <w:t xml:space="preserve">18. Evidências contrárias organizadas por categoria</w:t>
      </w:r>
      <w:bookmarkEnd w:id="519"/>
    </w:p>
    <w:p>
      <w:pPr>
        <w:pStyle w:val="FirstParagraph"/>
      </w:pPr>
      <w:r>
        <w:rPr>
          <w:lang w:val="pt-BR" w:eastAsia="pt-BR"/>
        </w:rPr>
        <w:t xml:space="preserve">“</w:t>
      </w:r>
      <w:r>
        <w:rPr>
          <w:lang w:val="pt-BR" w:eastAsia="pt-BR"/>
        </w:rPr>
        <w:t xml:space="preserve">Força</w:t>
      </w:r>
      <w:r>
        <w:rPr>
          <w:lang w:val="pt-BR" w:eastAsia="pt-BR"/>
        </w:rPr>
        <w:t xml:space="preserve">”</w:t>
      </w:r>
      <w:r>
        <w:rPr>
          <w:lang w:val="pt-BR" w:eastAsia="pt-BR"/>
        </w:rPr>
        <w:t xml:space="preserve"> </w:t>
      </w:r>
      <w:r>
        <w:rPr>
          <w:lang w:val="pt-BR" w:eastAsia="pt-BR"/>
        </w:rPr>
        <w:t xml:space="preserve">avalia quanto cada linha pesa contra a hipótese universal, não a importância cultural do hebraico.</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2409"/>
        <w:gridCol w:w="2409"/>
        <w:gridCol w:w="2409"/>
        <w:gridCol w:w="2409"/>
      </w:tblGrid>
      <w:tr>
        <w:trPr>
          <w:tblHeader w:val="true"/>
          <w:cantSplit/>
        </w:trPr>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Categoria</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Evidência não redundante</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Força</w:t>
            </w:r>
          </w:p>
        </w:tc>
        <w:tc>
          <w:tcPr>
            <w:tcW w:type="dxa" w:w="240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Justificativa</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 Linguística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Correspondências regulares e morfologia reconstroem Proto-Semítico acima do hebraico; outras filhas preservam contrastes e casos perdidos no hebraico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forte</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Evidência estrutural positiva, replicada em centenas de formas e paradigmas</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B. Cronológica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Acadiano/eblaíta documentados muito antes; sumério e egípcio ainda anteriores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Forte</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Sozinha não exclui ancestral não documentado, mas combinada à estrutura torna a derivação hebraica historicamente implausível</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 Epigráfica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Primeiros candidatos hebraicos são tardios e disputados; corpora inequívocos são da Idade do Ferro</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Forte</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Delimita quando o rótulo “hebraico” se torna empiricamente justificável</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 Filogenética</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está aninhado em cananeu; famílias não afro-asiáticas formam árvores independentes</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Muito forte</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Inovações compartilhadas definem relações de irmandade, não descendência do hebraico</w:t>
            </w:r>
          </w:p>
        </w:tc>
      </w:tr>
      <w:tr>
        <w:trPr>
          <w:cantSplit/>
        </w:trPr>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 Arqueológica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Não há horizonte material ou dispersão que acompanhe uma expansão mundial hebraica; escrita surge antes em outras regiões</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Moderada</w:t>
            </w:r>
          </w:p>
        </w:tc>
        <w:tc>
          <w:tcPr>
            <w:tcW w:type="dxa" w:w="240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Cultura material não codifica língua diretamente, por isso funciona como teste de plausibilidade, não prova isolada</w:t>
            </w:r>
          </w:p>
        </w:tc>
      </w:tr>
      <w:tr>
        <w:trPr>
          <w:cantSplit/>
        </w:trPr>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 Histórico-documental</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 ideia adâmica é uma tradição interpretativa plural e posterior; Gênesis não nomeia a língua pré-Babel</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Forte</w:t>
            </w:r>
          </w:p>
        </w:tc>
        <w:tc>
          <w:tcPr>
            <w:tcW w:type="dxa" w:w="240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Refuta a alegação de afirmação bíblica explícita e documenta a história da inferência</w:t>
            </w:r>
          </w:p>
        </w:tc>
      </w:tr>
    </w:tbl>
    <w:bookmarkStart w:id="104" w:name="X7220e6d90eaea6b66ee462773a75d205c93247d"/>
    <w:p>
      <w:pPr>
        <w:pStyle w:val="Heading2"/>
      </w:pPr>
      <w:r>
        <w:rPr>
          <w:lang w:val="pt-BR" w:eastAsia="pt-BR"/>
        </w:rPr>
        <w:t xml:space="preserve">18.1 Evidências eventualmente favoráveis — e seu peso real</w:t>
      </w:r>
    </w:p>
    <w:p>
      <w:pPr>
        <w:pStyle w:val="FirstParagraph"/>
      </w:pPr>
      <w:r>
        <w:rPr>
          <w:lang w:val="pt-BR" w:eastAsia="pt-BR"/>
        </w:rPr>
        <w:t xml:space="preserve">Uma avaliação equilibrada deve reconhecer três fatos que tornam a hipótese intuitivamente atraente:</w:t>
      </w:r>
    </w:p>
    <w:p>
      <w:pPr>
        <w:numPr>
          <w:ilvl w:val="0"/>
          <w:numId w:val="1012"/>
        </w:numPr>
        <w:pStyle w:val="Compact"/>
      </w:pPr>
      <w:r>
        <w:rPr>
          <w:lang w:val="pt-BR" w:eastAsia="pt-BR"/>
        </w:rPr>
        <w:t xml:space="preserve">hebraico é de fato uma língua antiga, com corpus religioso de enorme antiguidade e continuidade;</w:t>
      </w:r>
    </w:p>
    <w:p>
      <w:pPr>
        <w:numPr>
          <w:ilvl w:val="0"/>
          <w:numId w:val="1012"/>
        </w:numPr>
        <w:pStyle w:val="Compact"/>
      </w:pPr>
      <w:r>
        <w:rPr>
          <w:lang w:val="pt-BR" w:eastAsia="pt-BR"/>
        </w:rPr>
        <w:t xml:space="preserve">o texto de Gênesis utiliza jogos de palavras hebraicos impressionantes;</w:t>
      </w:r>
    </w:p>
    <w:p>
      <w:pPr>
        <w:numPr>
          <w:ilvl w:val="0"/>
          <w:numId w:val="1012"/>
        </w:numPr>
        <w:pStyle w:val="Compact"/>
      </w:pPr>
      <w:r>
        <w:rPr>
          <w:lang w:val="pt-BR" w:eastAsia="pt-BR"/>
        </w:rPr>
        <w:t xml:space="preserve">hebraico preserva arcaísmos semíticos e pertence a uma das famílias com registros mais antigos.</w:t>
      </w:r>
    </w:p>
    <w:p>
      <w:pPr>
        <w:pStyle w:val="FirstParagraph"/>
      </w:pPr>
      <w:r>
        <w:rPr>
          <w:lang w:val="pt-BR" w:eastAsia="pt-BR"/>
        </w:rPr>
        <w:t xml:space="preserve">Esses fatos favorecem a relevância histórica e filológica do hebraico, não a ancestralidade universal. Nenhum satisfaz o critério de correspondências regulares entre famílias. Seu peso para a hipótese é</w:t>
      </w:r>
      <w:r>
        <w:rPr>
          <w:lang w:val="pt-BR" w:eastAsia="pt-BR"/>
        </w:rPr>
        <w:t xml:space="preserve"> </w:t>
      </w:r>
      <w:r>
        <w:rPr>
          <w:bCs/>
          <w:b/>
          <w:lang w:val="pt-BR" w:eastAsia="pt-BR"/>
        </w:rPr>
        <w:t xml:space="preserve">fraco</w:t>
      </w:r>
      <w:r>
        <w:rPr>
          <w:lang w:val="pt-BR" w:eastAsia="pt-BR"/>
        </w:rPr>
        <w:t xml:space="preserve">; para a história cultural do hebraico, é</w:t>
      </w:r>
      <w:r>
        <w:rPr>
          <w:lang w:val="pt-BR" w:eastAsia="pt-BR"/>
        </w:rPr>
        <w:t xml:space="preserve"> </w:t>
      </w:r>
      <w:r>
        <w:rPr>
          <w:bCs/>
          <w:b/>
          <w:lang w:val="pt-BR" w:eastAsia="pt-BR"/>
        </w:rPr>
        <w:t xml:space="preserve">forte</w:t>
      </w:r>
      <w:r>
        <w:rPr>
          <w:lang w:val="pt-BR" w:eastAsia="pt-BR"/>
        </w:rPr>
        <w:t xml:space="preserve">.</w:t>
      </w:r>
    </w:p>
    <w:bookmarkEnd w:id="104"/>
    <w:bookmarkEnd w:id="105"/>
    <w:bookmarkStart w:id="109" w:name="o-que-não-pode-ser-provado"/>
    <w:p>
      <w:bookmarkStart w:id="520" w:name="sec_021"/>
      <w:pPr>
        <w:pStyle w:val="Heading1"/>
        <w:pBdr>
          <w:bottom w:val="single" w:sz="12" w:space="6" w:color="C4942F"/>
        </w:pBdr>
      </w:pPr>
      <w:r>
        <w:rPr>
          <w:lang w:val="pt-BR" w:eastAsia="pt-BR"/>
        </w:rPr>
        <w:t xml:space="preserve">19. O que não pode ser provado</w:t>
      </w:r>
      <w:bookmarkEnd w:id="520"/>
    </w:p>
    <w:bookmarkStart w:id="106" w:name="Xbd8b002991c4a051dfc7cf6f1055523311f6eda"/>
    <w:p>
      <w:pPr>
        <w:pStyle w:val="Heading2"/>
      </w:pPr>
      <w:r>
        <w:rPr>
          <w:lang w:val="pt-BR" w:eastAsia="pt-BR"/>
        </w:rPr>
        <w:t xml:space="preserve">19.1</w:t>
      </w:r>
      <w:r>
        <w:rPr>
          <w:lang w:val="pt-BR" w:eastAsia="pt-BR"/>
        </w:rPr>
        <w:t xml:space="preserve"> </w:t>
      </w:r>
      <w:r>
        <w:rPr>
          <w:lang w:val="pt-BR" w:eastAsia="pt-BR"/>
        </w:rPr>
        <w:t xml:space="preserve">“</w:t>
      </w:r>
      <w:r>
        <w:rPr>
          <w:lang w:val="pt-BR" w:eastAsia="pt-BR"/>
        </w:rPr>
        <w:t xml:space="preserve">Não há evidência</w:t>
      </w:r>
      <w:r>
        <w:rPr>
          <w:lang w:val="pt-BR" w:eastAsia="pt-BR"/>
        </w:rPr>
        <w:t xml:space="preserve">”</w:t>
      </w:r>
      <w:r>
        <w:rPr>
          <w:lang w:val="pt-BR" w:eastAsia="pt-BR"/>
        </w:rPr>
        <w:t xml:space="preserve"> </w:t>
      </w:r>
      <w:r>
        <w:rPr>
          <w:lang w:val="pt-BR" w:eastAsia="pt-BR"/>
        </w:rPr>
        <w:t xml:space="preserve">versus</w:t>
      </w:r>
      <w:r>
        <w:rPr>
          <w:lang w:val="pt-BR" w:eastAsia="pt-BR"/>
        </w:rPr>
        <w:t xml:space="preserve"> </w:t>
      </w:r>
      <w:r>
        <w:rPr>
          <w:lang w:val="pt-BR" w:eastAsia="pt-BR"/>
        </w:rPr>
        <w:t xml:space="preserve">“</w:t>
      </w:r>
      <w:r>
        <w:rPr>
          <w:lang w:val="pt-BR" w:eastAsia="pt-BR"/>
        </w:rPr>
        <w:t xml:space="preserve">há evidência contra</w:t>
      </w:r>
      <w:r>
        <w:rPr>
          <w:lang w:val="pt-BR" w:eastAsia="pt-BR"/>
        </w:rPr>
        <w:t xml:space="preserve">”</w:t>
      </w:r>
    </w:p>
    <w:p>
      <w:pPr>
        <w:pStyle w:val="FirstParagraph"/>
      </w:pPr>
      <w:r>
        <w:rPr>
          <w:bCs/>
          <w:b/>
          <w:lang w:val="pt-BR" w:eastAsia="pt-BR"/>
        </w:rPr>
        <w:t xml:space="preserve">Não há evidência de X</w:t>
      </w:r>
      <w:r>
        <w:rPr>
          <w:lang w:val="pt-BR" w:eastAsia="pt-BR"/>
        </w:rPr>
        <w:t xml:space="preserve"> </w:t>
      </w:r>
      <w:r>
        <w:rPr>
          <w:lang w:val="pt-BR" w:eastAsia="pt-BR"/>
        </w:rPr>
        <w:t xml:space="preserve">quando os dados simplesmente não alcançam a questão: não temos gravação da primeira comunidade humana, nem um método para recuperar sua língua completa.</w:t>
      </w:r>
      <w:r>
        <w:rPr>
          <w:lang w:val="pt-BR" w:eastAsia="pt-BR"/>
        </w:rPr>
        <w:t xml:space="preserve"> </w:t>
      </w:r>
      <w:r>
        <w:rPr>
          <w:bCs/>
          <w:b/>
          <w:lang w:val="pt-BR" w:eastAsia="pt-BR"/>
        </w:rPr>
        <w:t xml:space="preserve">Há evidência positiva contra X</w:t>
      </w:r>
      <w:r>
        <w:rPr>
          <w:lang w:val="pt-BR" w:eastAsia="pt-BR"/>
        </w:rPr>
        <w:t xml:space="preserve"> </w:t>
      </w:r>
      <w:r>
        <w:rPr>
          <w:lang w:val="pt-BR" w:eastAsia="pt-BR"/>
        </w:rPr>
        <w:t xml:space="preserve">quando X faz previsões e os dados exibem o padrão contrário: hebraico como ancestral do acadiano prevê uma direção histórica incompatível com a reconstrução e com os paradigmas distribuídos.</w:t>
      </w:r>
    </w:p>
    <w:p>
      <w:pPr>
        <w:pStyle w:val="BodyText"/>
      </w:pPr>
      <w:r>
        <w:rPr>
          <w:lang w:val="pt-BR" w:eastAsia="pt-BR"/>
        </w:rPr>
        <w:t xml:space="preserve">Portanto:</w:t>
      </w:r>
    </w:p>
    <w:p>
      <w:pPr>
        <w:numPr>
          <w:ilvl w:val="0"/>
          <w:numId w:val="1013"/>
        </w:numPr>
        <w:pStyle w:val="Compact"/>
      </w:pPr>
      <w:r>
        <w:rPr>
          <w:lang w:val="pt-BR" w:eastAsia="pt-BR"/>
        </w:rPr>
        <w:t xml:space="preserve">“</w:t>
      </w:r>
      <w:r>
        <w:rPr>
          <w:lang w:val="pt-BR" w:eastAsia="pt-BR"/>
        </w:rPr>
        <w:t xml:space="preserve">Adão pronunciou estas palavras em hebraico</w:t>
      </w:r>
      <w:r>
        <w:rPr>
          <w:lang w:val="pt-BR" w:eastAsia="pt-BR"/>
        </w:rPr>
        <w:t xml:space="preserve">”</w:t>
      </w:r>
      <w:r>
        <w:rPr>
          <w:lang w:val="pt-BR" w:eastAsia="pt-BR"/>
        </w:rPr>
        <w:t xml:space="preserve"> </w:t>
      </w:r>
      <w:r>
        <w:rPr>
          <w:lang w:val="pt-BR" w:eastAsia="pt-BR"/>
        </w:rPr>
        <w:t xml:space="preserve">é, sem acesso independente a Adão, não verificável;</w:t>
      </w:r>
    </w:p>
    <w:p>
      <w:pPr>
        <w:numPr>
          <w:ilvl w:val="0"/>
          <w:numId w:val="1013"/>
        </w:numPr>
        <w:pStyle w:val="Compact"/>
      </w:pPr>
      <w:r>
        <w:rPr>
          <w:lang w:val="pt-BR" w:eastAsia="pt-BR"/>
        </w:rPr>
        <w:t xml:space="preserve">“</w:t>
      </w:r>
      <w:r>
        <w:rPr>
          <w:lang w:val="pt-BR" w:eastAsia="pt-BR"/>
        </w:rPr>
        <w:t xml:space="preserve">todas as línguas documentadas descendem do hebraico histórico</w:t>
      </w:r>
      <w:r>
        <w:rPr>
          <w:lang w:val="pt-BR" w:eastAsia="pt-BR"/>
        </w:rPr>
        <w:t xml:space="preserve">”</w:t>
      </w:r>
      <w:r>
        <w:rPr>
          <w:lang w:val="pt-BR" w:eastAsia="pt-BR"/>
        </w:rPr>
        <w:t xml:space="preserve"> </w:t>
      </w:r>
      <w:r>
        <w:rPr>
          <w:lang w:val="pt-BR" w:eastAsia="pt-BR"/>
        </w:rPr>
        <w:t xml:space="preserve">é testável e contradita;</w:t>
      </w:r>
    </w:p>
    <w:p>
      <w:pPr>
        <w:numPr>
          <w:ilvl w:val="0"/>
          <w:numId w:val="1013"/>
        </w:numPr>
        <w:pStyle w:val="Compact"/>
      </w:pPr>
      <w:r>
        <w:rPr>
          <w:lang w:val="pt-BR" w:eastAsia="pt-BR"/>
        </w:rPr>
        <w:t xml:space="preserve">“</w:t>
      </w:r>
      <w:r>
        <w:rPr>
          <w:lang w:val="pt-BR" w:eastAsia="pt-BR"/>
        </w:rPr>
        <w:t xml:space="preserve">existiu uma língua única muito remota</w:t>
      </w:r>
      <w:r>
        <w:rPr>
          <w:lang w:val="pt-BR" w:eastAsia="pt-BR"/>
        </w:rPr>
        <w:t xml:space="preserve">”</w:t>
      </w:r>
      <w:r>
        <w:rPr>
          <w:lang w:val="pt-BR" w:eastAsia="pt-BR"/>
        </w:rPr>
        <w:t xml:space="preserve"> </w:t>
      </w:r>
      <w:r>
        <w:rPr>
          <w:lang w:val="pt-BR" w:eastAsia="pt-BR"/>
        </w:rPr>
        <w:t xml:space="preserve">é possível como hipótese, mas não demonstrada;</w:t>
      </w:r>
    </w:p>
    <w:p>
      <w:pPr>
        <w:numPr>
          <w:ilvl w:val="0"/>
          <w:numId w:val="1013"/>
        </w:numPr>
        <w:pStyle w:val="Compact"/>
      </w:pPr>
      <w:r>
        <w:rPr>
          <w:lang w:val="pt-BR" w:eastAsia="pt-BR"/>
        </w:rPr>
        <w:t xml:space="preserve">“</w:t>
      </w:r>
      <w:r>
        <w:rPr>
          <w:lang w:val="pt-BR" w:eastAsia="pt-BR"/>
        </w:rPr>
        <w:t xml:space="preserve">essa língua única era estruturalmente o hebraico da Bíblia</w:t>
      </w:r>
      <w:r>
        <w:rPr>
          <w:lang w:val="pt-BR" w:eastAsia="pt-BR"/>
        </w:rPr>
        <w:t xml:space="preserve">”</w:t>
      </w:r>
      <w:r>
        <w:rPr>
          <w:lang w:val="pt-BR" w:eastAsia="pt-BR"/>
        </w:rPr>
        <w:t xml:space="preserve"> </w:t>
      </w:r>
      <w:r>
        <w:rPr>
          <w:lang w:val="pt-BR" w:eastAsia="pt-BR"/>
        </w:rPr>
        <w:t xml:space="preserve">entra em conflito com a história recuperável do hebraico.</w:t>
      </w:r>
    </w:p>
    <w:bookmarkEnd w:id="106"/>
    <w:bookmarkStart w:id="107" w:name="lacunas-inevitáveis"/>
    <w:p>
      <w:pPr>
        <w:pStyle w:val="Heading2"/>
      </w:pPr>
      <w:r>
        <w:rPr>
          <w:lang w:val="pt-BR" w:eastAsia="pt-BR"/>
        </w:rPr>
        <w:t xml:space="preserve">19.2 Lacunas inevitáveis</w:t>
      </w:r>
    </w:p>
    <w:p>
      <w:pPr>
        <w:pStyle w:val="FirstParagraph"/>
      </w:pPr>
      <w:r>
        <w:rPr>
          <w:lang w:val="pt-BR" w:eastAsia="pt-BR"/>
        </w:rPr>
        <w:t xml:space="preserve">Não podemos estabelecer o dia ou século em que</w:t>
      </w:r>
      <w:r>
        <w:rPr>
          <w:lang w:val="pt-BR" w:eastAsia="pt-BR"/>
        </w:rPr>
        <w:t xml:space="preserve"> </w:t>
      </w:r>
      <w:r>
        <w:rPr>
          <w:lang w:val="pt-BR" w:eastAsia="pt-BR"/>
        </w:rPr>
        <w:t xml:space="preserve">“</w:t>
      </w:r>
      <w:r>
        <w:rPr>
          <w:lang w:val="pt-BR" w:eastAsia="pt-BR"/>
        </w:rPr>
        <w:t xml:space="preserve">o hebraico nasceu</w:t>
      </w:r>
      <w:r>
        <w:rPr>
          <w:lang w:val="pt-BR" w:eastAsia="pt-BR"/>
        </w:rPr>
        <w:t xml:space="preserve">”</w:t>
      </w:r>
      <w:r>
        <w:rPr>
          <w:lang w:val="pt-BR" w:eastAsia="pt-BR"/>
        </w:rPr>
        <w:t xml:space="preserve">. Dialetos mudam gradualmente. Não podemos reconstruir a pronúncia exata de todas as consoantes proto-semíticas. Não podemos datar Proto-Afro-Asiático com precisão de milênios. Não podemos inferir língua diretamente de genes, cerâmica ou etnia. Não podemos saber quantas línguas desapareceram sem qualquer registro.</w:t>
      </w:r>
    </w:p>
    <w:bookmarkEnd w:id="107"/>
    <w:bookmarkStart w:id="108" w:name="o-limite-lógico-do-veredito"/>
    <w:p>
      <w:pPr>
        <w:pStyle w:val="Heading2"/>
      </w:pPr>
      <w:r>
        <w:rPr>
          <w:lang w:val="pt-BR" w:eastAsia="pt-BR"/>
        </w:rPr>
        <w:t xml:space="preserve">19.3 O limite lógico do veredito</w:t>
      </w:r>
    </w:p>
    <w:p>
      <w:pPr>
        <w:pStyle w:val="FirstParagraph"/>
      </w:pPr>
      <w:r>
        <w:rPr>
          <w:lang w:val="pt-BR" w:eastAsia="pt-BR"/>
        </w:rPr>
        <w:t xml:space="preserve">Demonstrar que hebraico não é ancestral das famílias conhecidas não identifica a primeira língua humana. Também não prova poligênese. O resultado é assimétrico: a hipótese hebraica específica falha; a pergunta universal permanece aberta. Essa modéstia não enfraquece a conclusão sobre hebraico — impede apenas transformar uma refutação localizada numa teoria total sem dados.</w:t>
      </w:r>
    </w:p>
    <w:bookmarkEnd w:id="108"/>
    <w:bookmarkEnd w:id="109"/>
    <w:bookmarkStart w:id="114" w:name="árvore-filogenética-acadêmica"/>
    <w:p>
      <w:bookmarkStart w:id="521" w:name="sec_022"/>
      <w:pPr>
        <w:pStyle w:val="Heading1"/>
        <w:pageBreakBefore/>
        <w:pBdr>
          <w:bottom w:val="single" w:sz="12" w:space="6" w:color="C4942F"/>
        </w:pBdr>
      </w:pPr>
      <w:r>
        <w:rPr>
          <w:lang w:val="pt-BR" w:eastAsia="pt-BR"/>
        </w:rPr>
        <w:t xml:space="preserve">20. Árvore filogenética acadêmica</w:t>
      </w:r>
      <w:bookmarkEnd w:id="521"/>
    </w:p>
    <w:p>
      <w:pPr>
        <w:pStyle w:val="CaptionedFigure"/>
        <w:keepNext/>
        <w:spacing w:before="120" w:after="60"/>
        <w:jc w:val="center"/>
      </w:pPr>
      <w:r>
        <w:rPr>
          <w:lang w:val="pt-BR" w:eastAsia="pt-BR"/>
        </w:rPr>
        <w:drawing>
          <wp:inline>
            <wp:extent cx="6108700" cy="4988517"/>
            <wp:effectExtent b="0" l="0" r="0" t="0"/>
            <wp:docPr descr="Árvore acadêmica ampliada: o hebraico como ramo cananeu, sem um tronco global demonstrado. Linhas tracejadas e notas indicam reconstruções e classificações discutidas." title="" id="111" name="Picture"/>
            <a:graphic>
              <a:graphicData uri="http://schemas.openxmlformats.org/drawingml/2006/picture">
                <pic:pic>
                  <pic:nvPicPr>
                    <pic:cNvPr descr="/workspace/hebraico-arvore-linguistica-8k.png" id="112" name="Picture"/>
                    <pic:cNvPicPr>
                      <a:picLocks noChangeArrowheads="1" noChangeAspect="1"/>
                    </pic:cNvPicPr>
                  </pic:nvPicPr>
                  <pic:blipFill>
                    <a:blip r:embed="rId110"/>
                    <a:stretch>
                      <a:fillRect/>
                    </a:stretch>
                  </pic:blipFill>
                  <pic:spPr bwMode="auto">
                    <a:xfrm>
                      <a:off x="0" y="0"/>
                      <a:ext cx="6108700" cy="4988517"/>
                    </a:xfrm>
                    <a:prstGeom prst="rect">
                      <a:avLst/>
                    </a:prstGeom>
                    <a:noFill/>
                    <a:ln w="9525">
                      <a:noFill/>
                      <a:headEnd/>
                      <a:tailEnd/>
                    </a:ln>
                  </pic:spPr>
                </pic:pic>
              </a:graphicData>
            </a:graphic>
          </wp:inline>
        </w:drawing>
      </w:r>
    </w:p>
    <w:p>
      <w:pPr>
        <w:pStyle w:val="ImageCaption"/>
      </w:pPr>
      <w:r>
        <w:rPr>
          <w:lang w:val="pt-BR" w:eastAsia="pt-BR"/>
        </w:rPr>
        <w:t xml:space="preserve">Árvore acadêmica ampliada: o hebraico como ramo cananeu, sem um tronco global demonstrado. Linhas tracejadas e notas indicam reconstruções e classificações discutidas.</w:t>
      </w:r>
    </w:p>
    <w:p>
      <w:pPr>
        <w:pStyle w:val="BodyText"/>
      </w:pPr>
      <w:r>
        <w:rPr>
          <w:bCs/>
          <w:b/>
          <w:lang w:val="pt-BR" w:eastAsia="pt-BR"/>
        </w:rPr>
        <w:t xml:space="preserve">Leitura da figura:</w:t>
      </w:r>
      <w:r>
        <w:rPr>
          <w:lang w:val="pt-BR" w:eastAsia="pt-BR"/>
        </w:rPr>
        <w:t xml:space="preserve"> </w:t>
      </w:r>
      <w:r>
        <w:rPr>
          <w:lang w:val="pt-BR" w:eastAsia="pt-BR"/>
        </w:rPr>
        <w:t xml:space="preserve">caixas com data de</w:t>
      </w:r>
      <w:r>
        <w:rPr>
          <w:lang w:val="pt-BR" w:eastAsia="pt-BR"/>
        </w:rPr>
        <w:t xml:space="preserve"> </w:t>
      </w:r>
      <w:r>
        <w:rPr>
          <w:lang w:val="pt-BR" w:eastAsia="pt-BR"/>
        </w:rPr>
        <w:t xml:space="preserve">“</w:t>
      </w:r>
      <w:r>
        <w:rPr>
          <w:lang w:val="pt-BR" w:eastAsia="pt-BR"/>
        </w:rPr>
        <w:t xml:space="preserve">primeiro registro</w:t>
      </w:r>
      <w:r>
        <w:rPr>
          <w:lang w:val="pt-BR" w:eastAsia="pt-BR"/>
        </w:rPr>
        <w:t xml:space="preserve">”</w:t>
      </w:r>
      <w:r>
        <w:rPr>
          <w:lang w:val="pt-BR" w:eastAsia="pt-BR"/>
        </w:rPr>
        <w:t xml:space="preserve"> </w:t>
      </w:r>
      <w:r>
        <w:rPr>
          <w:lang w:val="pt-BR" w:eastAsia="pt-BR"/>
        </w:rPr>
        <w:t xml:space="preserve">não datam a origem falada. Proto-línguas são reconstruções; línguas históricas têm atestação. O omótico e partes da topologia semítica aparecem com cautela. A prancha vetorial integral é anexada ao PDF para ampliação sem perda.</w:t>
      </w:r>
    </w:p>
    <w:bookmarkStart w:id="113" w:name="árvore-textual-com-graus-de-consenso"/>
    <w:p>
      <w:pPr>
        <w:pStyle w:val="Heading2"/>
      </w:pPr>
      <w:r>
        <w:rPr>
          <w:lang w:val="pt-BR" w:eastAsia="pt-BR"/>
        </w:rPr>
        <w:t xml:space="preserve">20.1 Árvore textual com graus de consenso</w:t>
      </w:r>
    </w:p>
    <w:p>
      <w:pPr>
        <w:numPr>
          <w:ilvl w:val="0"/>
          <w:numId w:val="1014"/>
        </w:numPr>
        <w:pStyle w:val="Compact"/>
      </w:pPr>
      <w:r>
        <w:rPr>
          <w:lang w:val="pt-BR" w:eastAsia="pt-BR"/>
        </w:rPr>
        <w:t xml:space="preserve">Afro-Asiático — profundidade e origem debatidas</w:t>
      </w:r>
    </w:p>
    <w:p>
      <w:pPr>
        <w:numPr>
          <w:ilvl w:val="1"/>
          <w:numId w:val="1015"/>
        </w:numPr>
        <w:pStyle w:val="Compact"/>
      </w:pPr>
      <w:r>
        <w:rPr>
          <w:lang w:val="pt-BR" w:eastAsia="pt-BR"/>
        </w:rPr>
        <w:t xml:space="preserve">Egípcio</w:t>
      </w:r>
    </w:p>
    <w:p>
      <w:pPr>
        <w:numPr>
          <w:ilvl w:val="1"/>
          <w:numId w:val="1015"/>
        </w:numPr>
        <w:pStyle w:val="Compact"/>
      </w:pPr>
      <w:r>
        <w:rPr>
          <w:lang w:val="pt-BR" w:eastAsia="pt-BR"/>
        </w:rPr>
        <w:t xml:space="preserve">Berbere</w:t>
      </w:r>
    </w:p>
    <w:p>
      <w:pPr>
        <w:numPr>
          <w:ilvl w:val="1"/>
          <w:numId w:val="1015"/>
        </w:numPr>
        <w:pStyle w:val="Compact"/>
      </w:pPr>
      <w:r>
        <w:rPr>
          <w:lang w:val="pt-BR" w:eastAsia="pt-BR"/>
        </w:rPr>
        <w:t xml:space="preserve">Chádico</w:t>
      </w:r>
    </w:p>
    <w:p>
      <w:pPr>
        <w:numPr>
          <w:ilvl w:val="1"/>
          <w:numId w:val="1015"/>
        </w:numPr>
        <w:pStyle w:val="Compact"/>
      </w:pPr>
      <w:r>
        <w:rPr>
          <w:lang w:val="pt-BR" w:eastAsia="pt-BR"/>
        </w:rPr>
        <w:t xml:space="preserve">Cuchítico</w:t>
      </w:r>
    </w:p>
    <w:p>
      <w:pPr>
        <w:numPr>
          <w:ilvl w:val="1"/>
          <w:numId w:val="1015"/>
        </w:numPr>
        <w:pStyle w:val="Compact"/>
      </w:pPr>
      <w:r>
        <w:rPr>
          <w:lang w:val="pt-BR" w:eastAsia="pt-BR"/>
        </w:rPr>
        <w:t xml:space="preserve">Omótico? — inclusão contestada</w:t>
      </w:r>
    </w:p>
    <w:p>
      <w:pPr>
        <w:numPr>
          <w:ilvl w:val="1"/>
          <w:numId w:val="1015"/>
        </w:numPr>
        <w:pStyle w:val="Compact"/>
      </w:pPr>
      <w:r>
        <w:rPr>
          <w:lang w:val="pt-BR" w:eastAsia="pt-BR"/>
        </w:rPr>
        <w:t xml:space="preserve">Semítico</w:t>
      </w:r>
    </w:p>
    <w:p>
      <w:pPr>
        <w:numPr>
          <w:ilvl w:val="2"/>
          <w:numId w:val="1016"/>
        </w:numPr>
        <w:pStyle w:val="Compact"/>
      </w:pPr>
      <w:r>
        <w:rPr>
          <w:lang w:val="pt-BR" w:eastAsia="pt-BR"/>
        </w:rPr>
        <w:t xml:space="preserve">Semítico Oriental — acadiano, eblaíta</w:t>
      </w:r>
    </w:p>
    <w:p>
      <w:pPr>
        <w:numPr>
          <w:ilvl w:val="2"/>
          <w:numId w:val="1016"/>
        </w:numPr>
        <w:pStyle w:val="Compact"/>
      </w:pPr>
      <w:r>
        <w:rPr>
          <w:lang w:val="pt-BR" w:eastAsia="pt-BR"/>
        </w:rPr>
        <w:t xml:space="preserve">Semítico Ocidental</w:t>
      </w:r>
    </w:p>
    <w:p>
      <w:pPr>
        <w:numPr>
          <w:ilvl w:val="3"/>
          <w:numId w:val="1017"/>
        </w:numPr>
        <w:pStyle w:val="Compact"/>
      </w:pPr>
      <w:r>
        <w:rPr>
          <w:lang w:val="pt-BR" w:eastAsia="pt-BR"/>
        </w:rPr>
        <w:t xml:space="preserve">ramos etiópicos/sul-arábicos — topologia debatida</w:t>
      </w:r>
    </w:p>
    <w:p>
      <w:pPr>
        <w:numPr>
          <w:ilvl w:val="3"/>
          <w:numId w:val="1017"/>
        </w:numPr>
        <w:pStyle w:val="Compact"/>
      </w:pPr>
      <w:r>
        <w:rPr>
          <w:lang w:val="pt-BR" w:eastAsia="pt-BR"/>
        </w:rPr>
        <w:t xml:space="preserve">Semítico Central</w:t>
      </w:r>
    </w:p>
    <w:p>
      <w:pPr>
        <w:numPr>
          <w:ilvl w:val="4"/>
          <w:numId w:val="1018"/>
        </w:numPr>
        <w:pStyle w:val="Compact"/>
      </w:pPr>
      <w:r>
        <w:rPr>
          <w:lang w:val="pt-BR" w:eastAsia="pt-BR"/>
        </w:rPr>
        <w:t xml:space="preserve">Árabe</w:t>
      </w:r>
    </w:p>
    <w:p>
      <w:pPr>
        <w:numPr>
          <w:ilvl w:val="4"/>
          <w:numId w:val="1018"/>
        </w:numPr>
        <w:pStyle w:val="Compact"/>
      </w:pPr>
      <w:r>
        <w:rPr>
          <w:lang w:val="pt-BR" w:eastAsia="pt-BR"/>
        </w:rPr>
        <w:t xml:space="preserve">Semítico Noroeste</w:t>
      </w:r>
    </w:p>
    <w:p>
      <w:pPr>
        <w:numPr>
          <w:ilvl w:val="5"/>
          <w:numId w:val="1019"/>
        </w:numPr>
        <w:pStyle w:val="Compact"/>
      </w:pPr>
      <w:r>
        <w:rPr>
          <w:lang w:val="pt-BR" w:eastAsia="pt-BR"/>
        </w:rPr>
        <w:t xml:space="preserve">Ugarítico — posição interna discutida</w:t>
      </w:r>
    </w:p>
    <w:p>
      <w:pPr>
        <w:numPr>
          <w:ilvl w:val="5"/>
          <w:numId w:val="1019"/>
        </w:numPr>
        <w:pStyle w:val="Compact"/>
      </w:pPr>
      <w:r>
        <w:rPr>
          <w:lang w:val="pt-BR" w:eastAsia="pt-BR"/>
        </w:rPr>
        <w:t xml:space="preserve">Aramaico</w:t>
      </w:r>
    </w:p>
    <w:p>
      <w:pPr>
        <w:numPr>
          <w:ilvl w:val="5"/>
          <w:numId w:val="1019"/>
        </w:numPr>
        <w:pStyle w:val="Compact"/>
      </w:pPr>
      <w:r>
        <w:rPr>
          <w:lang w:val="pt-BR" w:eastAsia="pt-BR"/>
        </w:rPr>
        <w:t xml:space="preserve">outras variedades: samaliano, Deir Alla</w:t>
      </w:r>
    </w:p>
    <w:p>
      <w:pPr>
        <w:numPr>
          <w:ilvl w:val="5"/>
          <w:numId w:val="1019"/>
        </w:numPr>
        <w:pStyle w:val="Compact"/>
      </w:pPr>
      <w:r>
        <w:rPr>
          <w:lang w:val="pt-BR" w:eastAsia="pt-BR"/>
        </w:rPr>
        <w:t xml:space="preserve">Cananeu</w:t>
      </w:r>
    </w:p>
    <w:p>
      <w:pPr>
        <w:numPr>
          <w:ilvl w:val="6"/>
          <w:numId w:val="1020"/>
        </w:numPr>
        <w:pStyle w:val="Compact"/>
      </w:pPr>
      <w:r>
        <w:rPr>
          <w:lang w:val="pt-BR" w:eastAsia="pt-BR"/>
        </w:rPr>
        <w:t xml:space="preserve">Fenício/Púnico</w:t>
      </w:r>
    </w:p>
    <w:p>
      <w:pPr>
        <w:numPr>
          <w:ilvl w:val="6"/>
          <w:numId w:val="1020"/>
        </w:numPr>
        <w:pStyle w:val="Compact"/>
      </w:pPr>
      <w:r>
        <w:rPr>
          <w:lang w:val="pt-BR" w:eastAsia="pt-BR"/>
        </w:rPr>
        <w:t xml:space="preserve">Moabita</w:t>
      </w:r>
    </w:p>
    <w:p>
      <w:pPr>
        <w:numPr>
          <w:ilvl w:val="6"/>
          <w:numId w:val="1020"/>
        </w:numPr>
        <w:pStyle w:val="Compact"/>
      </w:pPr>
      <w:r>
        <w:rPr>
          <w:lang w:val="pt-BR" w:eastAsia="pt-BR"/>
        </w:rPr>
        <w:t xml:space="preserve">Amonita</w:t>
      </w:r>
    </w:p>
    <w:p>
      <w:pPr>
        <w:numPr>
          <w:ilvl w:val="6"/>
          <w:numId w:val="1020"/>
        </w:numPr>
        <w:pStyle w:val="Compact"/>
      </w:pPr>
      <w:r>
        <w:rPr>
          <w:lang w:val="pt-BR" w:eastAsia="pt-BR"/>
        </w:rPr>
        <w:t xml:space="preserve">Edomita</w:t>
      </w:r>
    </w:p>
    <w:p>
      <w:pPr>
        <w:numPr>
          <w:ilvl w:val="6"/>
          <w:numId w:val="1020"/>
        </w:numPr>
        <w:pStyle w:val="Compact"/>
      </w:pPr>
      <w:r>
        <w:rPr>
          <w:bCs/>
          <w:b/>
          <w:lang w:val="pt-BR" w:eastAsia="pt-BR"/>
        </w:rPr>
        <w:t xml:space="preserve">Hebraico</w:t>
      </w:r>
    </w:p>
    <w:p>
      <w:pPr>
        <w:pStyle w:val="FirstParagraph"/>
      </w:pPr>
      <w:r>
        <w:rPr>
          <w:lang w:val="pt-BR" w:eastAsia="pt-BR"/>
        </w:rPr>
        <w:t xml:space="preserve">Não há</w:t>
      </w:r>
      <w:r>
        <w:rPr>
          <w:lang w:val="pt-BR" w:eastAsia="pt-BR"/>
        </w:rPr>
        <w:t xml:space="preserve"> </w:t>
      </w:r>
      <w:r>
        <w:rPr>
          <w:lang w:val="pt-BR" w:eastAsia="pt-BR"/>
        </w:rPr>
        <w:t xml:space="preserve">“</w:t>
      </w:r>
      <w:r>
        <w:rPr>
          <w:lang w:val="pt-BR" w:eastAsia="pt-BR"/>
        </w:rPr>
        <w:t xml:space="preserve">língua-mãe da humanidade</w:t>
      </w:r>
      <w:r>
        <w:rPr>
          <w:lang w:val="pt-BR" w:eastAsia="pt-BR"/>
        </w:rPr>
        <w:t xml:space="preserve">”</w:t>
      </w:r>
      <w:r>
        <w:rPr>
          <w:lang w:val="pt-BR" w:eastAsia="pt-BR"/>
        </w:rPr>
        <w:t xml:space="preserve"> </w:t>
      </w:r>
      <w:r>
        <w:rPr>
          <w:lang w:val="pt-BR" w:eastAsia="pt-BR"/>
        </w:rPr>
        <w:t xml:space="preserve">no topo. A raiz do gráfico é a família mais profunda relevante à classificação do hebraico que possui apoio comparativo, não a origem da linguagem.</w:t>
      </w:r>
    </w:p>
    <w:bookmarkEnd w:id="113"/>
    <w:bookmarkEnd w:id="114"/>
    <w:bookmarkStart w:id="118" w:name="linha-do-tempo-10.000-a.c.-a-500-a.c."/>
    <w:p>
      <w:bookmarkStart w:id="522" w:name="sec_023"/>
      <w:pPr>
        <w:pStyle w:val="Heading1"/>
        <w:pageBreakBefore/>
        <w:pBdr>
          <w:bottom w:val="single" w:sz="12" w:space="6" w:color="C4942F"/>
        </w:pBdr>
      </w:pPr>
      <w:r>
        <w:rPr>
          <w:lang w:val="pt-BR" w:eastAsia="pt-BR"/>
        </w:rPr>
        <w:t xml:space="preserve">21. Linha do tempo: ~10.000 a.C. a ~500 a.C.</w:t>
      </w:r>
      <w:bookmarkEnd w:id="522"/>
    </w:p>
    <w:p>
      <w:pPr>
        <w:pStyle w:val="CaptionedFigure"/>
        <w:keepNext/>
        <w:spacing w:before="120" w:after="60"/>
        <w:jc w:val="center"/>
      </w:pPr>
      <w:r>
        <w:rPr>
          <w:lang w:val="pt-BR" w:eastAsia="pt-BR"/>
        </w:rPr>
        <w:drawing>
          <wp:inline>
            <wp:extent cx="6108700" cy="3436143"/>
            <wp:effectExtent b="0" l="0" r="0" t="0"/>
            <wp:docPr descr="Linha do tempo acadêmica. Faixas indicam estimativas; pontos indicam primeiros registros aproximados. Divergência não equivale a atestação." title="" id="116" name="Picture"/>
            <a:graphic>
              <a:graphicData uri="http://schemas.openxmlformats.org/drawingml/2006/picture">
                <pic:pic>
                  <pic:nvPicPr>
                    <pic:cNvPr descr="/workspace/scratch/d004660744b5/figures/linha_tempo_hebraico.png" id="117" name="Picture"/>
                    <pic:cNvPicPr>
                      <a:picLocks noChangeArrowheads="1" noChangeAspect="1"/>
                    </pic:cNvPicPr>
                  </pic:nvPicPr>
                  <pic:blipFill>
                    <a:blip r:embed="rId115"/>
                    <a:stretch>
                      <a:fillRect/>
                    </a:stretch>
                  </pic:blipFill>
                  <pic:spPr bwMode="auto">
                    <a:xfrm>
                      <a:off x="0" y="0"/>
                      <a:ext cx="6108700" cy="3436143"/>
                    </a:xfrm>
                    <a:prstGeom prst="rect">
                      <a:avLst/>
                    </a:prstGeom>
                    <a:noFill/>
                    <a:ln w="9525">
                      <a:noFill/>
                      <a:headEnd/>
                      <a:tailEnd/>
                    </a:ln>
                  </pic:spPr>
                </pic:pic>
              </a:graphicData>
            </a:graphic>
          </wp:inline>
        </w:drawing>
      </w:r>
    </w:p>
    <w:p>
      <w:pPr>
        <w:pStyle w:val="ImageCaption"/>
      </w:pPr>
      <w:r>
        <w:rPr>
          <w:lang w:val="pt-BR" w:eastAsia="pt-BR"/>
        </w:rPr>
        <w:t xml:space="preserve">Linha do tempo acadêmica. Faixas indicam estimativas; pontos indicam primeiros registros aproximados. Divergência não equivale a atestação.</w:t>
      </w:r>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3213"/>
        <w:gridCol w:w="3213"/>
        <w:gridCol w:w="3213"/>
      </w:tblGrid>
      <w:tr>
        <w:trPr>
          <w:tblHeader w:val="true"/>
          <w:cantSplit/>
        </w:trPr>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Faixa/data</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Evento linguístico</w:t>
            </w:r>
          </w:p>
        </w:tc>
        <w:tc>
          <w:tcPr>
            <w:tcW w:type="dxa" w:w="3213"/>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Estatuto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antes de ~10.000 a.C. até ~8.000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Parte das propostas para Proto-Afro-Asiático; algumas chegam a ~18.000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Extremamente incerto; não há consenso de relógio ou pátria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~4500–3500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Faixa didática para Proto-Semítico; Huehnergard exige data não posterior ao fim do IV milênio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Reconstrução, não texto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~3300–3200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Proto-cuneiforme mesopotâmico; provável sumério no desenvolvimento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Primeiro sistema escrito preservado, leitura linguística inicial limitada</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~3250–3100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Primeiros registros egípcios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Documentação muito antiga, ainda curta</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~2600–2500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Primeiros dados acadianos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Semítico oriental documentado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~2400–2300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Arquivos de Ebla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Eblaíta e sumério em cuneiforme</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fim do III/início do II milênio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Nomes amoritas e outros semitas ocidentais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Evidência onomástica, não corpus contínuo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 XVII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Textos hititas</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Mais antigo grande corpus indo-europeu</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 XV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Linear B micênico</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Grego documentado</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~séculos XIV–XIII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Ugarítico e cananeu de Amarna</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Semítico noroeste anterior ao hebraico inequívoco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~séculos XI–X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Fenício inicial; Gezer/Qeiyafa e outros candidatos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Datas e classificação de peças individuais debatidas</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 IX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Moabita e aramaico antigo; hebraico torna-se mais diagnosticável</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Línguas regionais da Idade do Ferro</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~século VIII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Samaria, Siloé e outros corpora hebraicos claros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Documentação firme</w:t>
            </w:r>
          </w:p>
        </w:tc>
      </w:tr>
      <w:tr>
        <w:trPr>
          <w:cantSplit/>
        </w:trPr>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~séculos VII–VI a.C.</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Laquis, Ketef Hinnom; expansão do uso escrito</w:t>
            </w:r>
          </w:p>
        </w:tc>
        <w:tc>
          <w:tcPr>
            <w:tcW w:type="dxa" w:w="3213"/>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Hebraico judaíta e tradições textuais</w:t>
            </w:r>
          </w:p>
        </w:tc>
      </w:tr>
      <w:tr>
        <w:trPr>
          <w:cantSplit/>
        </w:trPr>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~500 a.C.</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Hebraico e aramaico em ambientes imperiais/pós-exílicos</w:t>
            </w:r>
          </w:p>
        </w:tc>
        <w:tc>
          <w:tcPr>
            <w:tcW w:type="dxa" w:w="3213"/>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Nova fase sociolinguística</w:t>
            </w:r>
          </w:p>
        </w:tc>
      </w:tr>
    </w:tbl>
    <w:bookmarkEnd w:id="118"/>
    <w:bookmarkStart w:id="119" w:name="tabela-comparativa-consolidada"/>
    <w:p>
      <w:bookmarkStart w:id="523" w:name="sec_024"/>
      <w:pPr>
        <w:pStyle w:val="Heading1"/>
        <w:pBdr>
          <w:bottom w:val="single" w:sz="12" w:space="6" w:color="C4942F"/>
        </w:pBdr>
      </w:pPr>
      <w:r>
        <w:rPr>
          <w:lang w:val="pt-BR" w:eastAsia="pt-BR"/>
        </w:rPr>
        <w:t xml:space="preserve">22. Tabela comparativa consolidada</w:t>
      </w:r>
      <w:bookmarkEnd w:id="523"/>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1606"/>
        <w:gridCol w:w="1606"/>
        <w:gridCol w:w="1606"/>
        <w:gridCol w:w="1606"/>
        <w:gridCol w:w="1606"/>
        <w:gridCol w:w="1606"/>
      </w:tblGrid>
      <w:tr>
        <w:trPr>
          <w:tblHeader w:val="true"/>
          <w:cantSplit/>
        </w:trPr>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Língua</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Família</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Primeiro registro aproximado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Ancestral reconstruído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Relação com hebraico</w:t>
            </w:r>
          </w:p>
        </w:tc>
        <w:tc>
          <w:tcPr>
            <w:tcW w:type="dxa" w:w="1606"/>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6"/>
                <w:lang w:val="pt-BR" w:eastAsia="pt-BR"/>
              </w:rPr>
              <w:t>Observações</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Sumério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Isolada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~3300–3200 a.C. (escrita arcaica)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Não demonstrado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Contato intenso com acadiano</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Egípcio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Afro-Asiático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~3250–3100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Proto-Afro-Asiático, em modelos aceitos</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Parente remotíssimo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Não é semítico</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Acadiano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oriental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~2600–2500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Proto-Semítico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distante</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Casos e outros arcaísmos</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Eblaíta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oriental/próximo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~2400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Proto-Semítico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Língua-irmã antiga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Classificação fina debatida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Amorita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ocidental antigo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~2300–1800 a.C. em nomes</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Proto-Semítico/ocidental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Parente distante</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Evidência sobretudo onomástica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Elamita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Isolada/não classificada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~2300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Não demonstrado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Proto-elamita anterior é indecifrado</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Hurriano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Hurro-urartiano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nomes III milênio; textos II</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Proto-Hurro-Urartiano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Contato regional</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Hitita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Indo-Europeu anatólio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 XVII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Proto-Anatólico/Proto-Indo-Europeu</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Primeiro grande corpus IE</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Grego micênico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Indo-Europeu helênico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~1450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Proto-Grego/Proto-Indo-Europeu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Linear B</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Ugarítico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noroeste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 XIV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Proto-Semítico noroeste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Língua-irmã</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Preserva interdentais/casos</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Cananeu de Amarna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noroeste</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~século XIV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Antecedente 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Parente/antecedente regional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Glosas em cartas acadianas</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Chinês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Sino-tibetano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 XIII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Proto-Sino-Tibetano, reconstrução debatida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Nenhuma genética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Ossos oraculares</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Fenício</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~séculos XI–X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próxima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Não descendente do hebraico</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Aramaico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 noroeste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~séculos X–IX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Proto-Noroeste/Aramaico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Língua-irmã, não cananeia</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Expansão imperial posterior</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Moabita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~século IX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Proto-Cananeu</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 muito próxima</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Estela de Mesa</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Hebraico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Cananeu</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candidatos X; firme IX–VIII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Proto-Cananeu</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Variedades israelita e judaíta</w:t>
            </w:r>
          </w:p>
        </w:tc>
      </w:tr>
      <w:tr>
        <w:trPr>
          <w:cantSplit/>
        </w:trPr>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Árabe</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Semítico central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dados antigos no I milênio a.C.</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Proto-Árabe/Proto-Semítico central</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Língua-irmã</w:t>
            </w:r>
          </w:p>
        </w:tc>
        <w:tc>
          <w:tcPr>
            <w:tcW w:type="dxa" w:w="1606"/>
            <w:vAlign w:val="center"/>
            <w:tcMar>
              <w:top w:w="90" w:type="dxa"/>
              <w:start w:w="100" w:type="dxa"/>
              <w:bottom w:w="90" w:type="dxa"/>
              <w:end w:w="100" w:type="dxa"/>
            </w:tcMar>
          </w:tcPr>
          <w:p>
            <w:pPr>
              <w:spacing w:after="30" w:line="240" w:lineRule="auto"/>
              <w:jc w:val="left"/>
            </w:pPr>
            <w:r>
              <w:rPr>
                <w:rFonts w:ascii="DejaVu Sans" w:hAnsi="DejaVu Sans"/>
                <w:color w:val="17262A"/>
                <w:sz w:val="16"/>
                <w:lang w:val="pt-BR" w:eastAsia="pt-BR"/>
              </w:rPr>
              <w:t>Preserva interdentais/casos no clássico</w:t>
            </w:r>
          </w:p>
        </w:tc>
      </w:tr>
      <w:tr>
        <w:trPr>
          <w:cantSplit/>
        </w:trPr>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Sul-arábico antigo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Semítico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corpus principal ~VIII–VII a.C.</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Proto-Semítico</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Parente distante</w:t>
            </w:r>
          </w:p>
        </w:tc>
        <w:tc>
          <w:tcPr>
            <w:tcW w:type="dxa" w:w="1606"/>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6"/>
                <w:lang w:val="pt-BR" w:eastAsia="pt-BR"/>
              </w:rPr>
              <w:t>Posição interna discutida</w:t>
            </w:r>
          </w:p>
        </w:tc>
      </w:tr>
    </w:tbl>
    <w:bookmarkEnd w:id="119"/>
    <w:bookmarkStart w:id="130" w:name="conclusão-e-veredito"/>
    <w:p>
      <w:bookmarkStart w:id="524" w:name="sec_025"/>
      <w:pPr>
        <w:pStyle w:val="Heading1"/>
        <w:pageBreakBefore/>
        <w:pBdr>
          <w:bottom w:val="single" w:sz="12" w:space="6" w:color="C4942F"/>
        </w:pBdr>
      </w:pPr>
      <w:r>
        <w:rPr>
          <w:lang w:val="pt-BR" w:eastAsia="pt-BR"/>
        </w:rPr>
        <w:t xml:space="preserve">23. Conclusão e veredito</w:t>
      </w:r>
      <w:bookmarkEnd w:id="524"/>
    </w:p>
    <w:bookmarkStart w:id="128" w:name="respostas-às-oito-perguntas"/>
    <w:p>
      <w:pPr>
        <w:pStyle w:val="Heading2"/>
      </w:pPr>
      <w:r>
        <w:rPr>
          <w:lang w:val="pt-BR" w:eastAsia="pt-BR"/>
        </w:rPr>
        <w:t xml:space="preserve">23.1 Respostas às oito perguntas</w:t>
      </w:r>
    </w:p>
    <w:bookmarkStart w:id="120" w:name="X37ad89c1762b34ef927bd36e2f9b715fd5e586b"/>
    <w:p>
      <w:pPr>
        <w:pStyle w:val="Heading3"/>
      </w:pPr>
      <w:r>
        <w:rPr>
          <w:lang w:val="pt-BR" w:eastAsia="pt-BR"/>
        </w:rPr>
        <w:t xml:space="preserve">1. O hebraico é a língua mais antiga conhecida?</w:t>
      </w:r>
    </w:p>
    <w:p>
      <w:pPr>
        <w:pStyle w:val="FirstParagraph"/>
      </w:pPr>
      <w:r>
        <w:rPr>
          <w:bCs/>
          <w:b/>
          <w:lang w:val="pt-BR" w:eastAsia="pt-BR"/>
        </w:rPr>
        <w:t xml:space="preserve">Não, se</w:t>
      </w:r>
      <w:r>
        <w:rPr>
          <w:bCs/>
          <w:b/>
          <w:lang w:val="pt-BR" w:eastAsia="pt-BR"/>
        </w:rPr>
        <w:t xml:space="preserve"> </w:t>
      </w:r>
      <w:r>
        <w:rPr>
          <w:bCs/>
          <w:b/>
          <w:lang w:val="pt-BR" w:eastAsia="pt-BR"/>
        </w:rPr>
        <w:t xml:space="preserve">“</w:t>
      </w:r>
      <w:r>
        <w:rPr>
          <w:bCs/>
          <w:b/>
          <w:lang w:val="pt-BR" w:eastAsia="pt-BR"/>
        </w:rPr>
        <w:t xml:space="preserve">conhecida</w:t>
      </w:r>
      <w:r>
        <w:rPr>
          <w:bCs/>
          <w:b/>
          <w:lang w:val="pt-BR" w:eastAsia="pt-BR"/>
        </w:rPr>
        <w:t xml:space="preserve">”</w:t>
      </w:r>
      <w:r>
        <w:rPr>
          <w:bCs/>
          <w:b/>
          <w:lang w:val="pt-BR" w:eastAsia="pt-BR"/>
        </w:rPr>
        <w:t xml:space="preserve"> </w:t>
      </w:r>
      <w:r>
        <w:rPr>
          <w:bCs/>
          <w:b/>
          <w:lang w:val="pt-BR" w:eastAsia="pt-BR"/>
        </w:rPr>
        <w:t xml:space="preserve">significa documentada.</w:t>
      </w:r>
      <w:r>
        <w:rPr>
          <w:lang w:val="pt-BR" w:eastAsia="pt-BR"/>
        </w:rPr>
        <w:t xml:space="preserve"> </w:t>
      </w:r>
      <w:r>
        <w:rPr>
          <w:lang w:val="pt-BR" w:eastAsia="pt-BR"/>
        </w:rPr>
        <w:t xml:space="preserve">Sumério, egípcio, acadiano, eblaíta, hitita, ugarítico e outras línguas possuem registros anteriores. Se</w:t>
      </w:r>
      <w:r>
        <w:rPr>
          <w:lang w:val="pt-BR" w:eastAsia="pt-BR"/>
        </w:rPr>
        <w:t xml:space="preserve"> </w:t>
      </w:r>
      <w:r>
        <w:rPr>
          <w:lang w:val="pt-BR" w:eastAsia="pt-BR"/>
        </w:rPr>
        <w:t xml:space="preserve">“</w:t>
      </w:r>
      <w:r>
        <w:rPr>
          <w:lang w:val="pt-BR" w:eastAsia="pt-BR"/>
        </w:rPr>
        <w:t xml:space="preserve">mais antiga</w:t>
      </w:r>
      <w:r>
        <w:rPr>
          <w:lang w:val="pt-BR" w:eastAsia="pt-BR"/>
        </w:rPr>
        <w:t xml:space="preserve">”</w:t>
      </w:r>
      <w:r>
        <w:rPr>
          <w:lang w:val="pt-BR" w:eastAsia="pt-BR"/>
        </w:rPr>
        <w:t xml:space="preserve"> </w:t>
      </w:r>
      <w:r>
        <w:rPr>
          <w:lang w:val="pt-BR" w:eastAsia="pt-BR"/>
        </w:rPr>
        <w:t xml:space="preserve">significa primeira língua falada, nenhuma língua pode receber esse título cientificamente.</w:t>
      </w:r>
      <w:r>
        <w:rPr>
          <w:lang w:val="pt-BR" w:eastAsia="pt-BR"/>
        </w:rPr>
        <w:t xml:space="preserve"> </w:t>
      </w:r>
      <w:r>
        <w:rPr>
          <w:bCs/>
          <w:b/>
          <w:lang w:val="pt-BR" w:eastAsia="pt-BR"/>
        </w:rPr>
        <w:t xml:space="preserve">Confiança: muito alta.</w:t>
      </w:r>
    </w:p>
    <w:bookmarkEnd w:id="120"/>
    <w:bookmarkStart w:id="121" w:name="é-a-língua-escrita-mais-antiga-conhecida"/>
    <w:p>
      <w:pPr>
        <w:pStyle w:val="Heading3"/>
      </w:pPr>
      <w:r>
        <w:rPr>
          <w:lang w:val="pt-BR" w:eastAsia="pt-BR"/>
        </w:rPr>
        <w:t xml:space="preserve">2. É a língua escrita mais antiga conhecida?</w:t>
      </w:r>
    </w:p>
    <w:p>
      <w:pPr>
        <w:pStyle w:val="FirstParagraph"/>
      </w:pPr>
      <w:r>
        <w:rPr>
          <w:bCs/>
          <w:b/>
          <w:lang w:val="pt-BR" w:eastAsia="pt-BR"/>
        </w:rPr>
        <w:t xml:space="preserve">Não.</w:t>
      </w:r>
      <w:r>
        <w:rPr>
          <w:lang w:val="pt-BR" w:eastAsia="pt-BR"/>
        </w:rPr>
        <w:t xml:space="preserve"> </w:t>
      </w:r>
      <w:r>
        <w:rPr>
          <w:lang w:val="pt-BR" w:eastAsia="pt-BR"/>
        </w:rPr>
        <w:t xml:space="preserve">A escrita mesopotâmica e a egípcia aparecem no fim do IV milênio a.C.; a documentação hebraica diagnóstica é da Idade do Ferro.</w:t>
      </w:r>
      <w:r>
        <w:rPr>
          <w:lang w:val="pt-BR" w:eastAsia="pt-BR"/>
        </w:rPr>
        <w:t xml:space="preserve"> </w:t>
      </w:r>
      <w:r>
        <w:rPr>
          <w:bCs/>
          <w:b/>
          <w:lang w:val="pt-BR" w:eastAsia="pt-BR"/>
        </w:rPr>
        <w:t xml:space="preserve">Confiança: muito alta.</w:t>
      </w:r>
    </w:p>
    <w:bookmarkEnd w:id="121"/>
    <w:bookmarkStart w:id="122" w:name="é-ancestral-das-demais-línguas-semíticas"/>
    <w:p>
      <w:pPr>
        <w:pStyle w:val="Heading3"/>
      </w:pPr>
      <w:r>
        <w:rPr>
          <w:lang w:val="pt-BR" w:eastAsia="pt-BR"/>
        </w:rPr>
        <w:t xml:space="preserve">3. É ancestral das demais línguas semíticas?</w:t>
      </w:r>
    </w:p>
    <w:p>
      <w:pPr>
        <w:pStyle w:val="FirstParagraph"/>
      </w:pPr>
      <w:r>
        <w:rPr>
          <w:bCs/>
          <w:b/>
          <w:lang w:val="pt-BR" w:eastAsia="pt-BR"/>
        </w:rPr>
        <w:t xml:space="preserve">Não.</w:t>
      </w:r>
      <w:r>
        <w:rPr>
          <w:lang w:val="pt-BR" w:eastAsia="pt-BR"/>
        </w:rPr>
        <w:t xml:space="preserve"> </w:t>
      </w:r>
      <w:r>
        <w:rPr>
          <w:lang w:val="pt-BR" w:eastAsia="pt-BR"/>
        </w:rPr>
        <w:t xml:space="preserve">Hebraico, acadiano, árabe, aramaico, ugarítico e as demais descendem de estágios comuns reconstruídos. Acadiano e outras línguas preservam características que o hebraico perdeu.</w:t>
      </w:r>
      <w:r>
        <w:rPr>
          <w:lang w:val="pt-BR" w:eastAsia="pt-BR"/>
        </w:rPr>
        <w:t xml:space="preserve"> </w:t>
      </w:r>
      <w:r>
        <w:rPr>
          <w:bCs/>
          <w:b/>
          <w:lang w:val="pt-BR" w:eastAsia="pt-BR"/>
        </w:rPr>
        <w:t xml:space="preserve">Confiança: muito alta.</w:t>
      </w:r>
    </w:p>
    <w:bookmarkEnd w:id="122"/>
    <w:bookmarkStart w:id="123" w:name="é-ancestral-das-línguas-afro-asiáticas"/>
    <w:p>
      <w:pPr>
        <w:pStyle w:val="Heading3"/>
      </w:pPr>
      <w:r>
        <w:rPr>
          <w:lang w:val="pt-BR" w:eastAsia="pt-BR"/>
        </w:rPr>
        <w:t xml:space="preserve">4. É ancestral das línguas afro-asiáticas?</w:t>
      </w:r>
    </w:p>
    <w:p>
      <w:pPr>
        <w:pStyle w:val="FirstParagraph"/>
      </w:pPr>
      <w:r>
        <w:rPr>
          <w:bCs/>
          <w:b/>
          <w:lang w:val="pt-BR" w:eastAsia="pt-BR"/>
        </w:rPr>
        <w:t xml:space="preserve">Não.</w:t>
      </w:r>
      <w:r>
        <w:rPr>
          <w:lang w:val="pt-BR" w:eastAsia="pt-BR"/>
        </w:rPr>
        <w:t xml:space="preserve"> </w:t>
      </w:r>
      <w:r>
        <w:rPr>
          <w:lang w:val="pt-BR" w:eastAsia="pt-BR"/>
        </w:rPr>
        <w:t xml:space="preserve">Hebraico é um subramo recente do semítico, que é apenas um ramo do Afro-Asiático. Egípcio, chádico, berbere e cuchítico não passam por um estágio hebraico.</w:t>
      </w:r>
      <w:r>
        <w:rPr>
          <w:lang w:val="pt-BR" w:eastAsia="pt-BR"/>
        </w:rPr>
        <w:t xml:space="preserve"> </w:t>
      </w:r>
      <w:r>
        <w:rPr>
          <w:bCs/>
          <w:b/>
          <w:lang w:val="pt-BR" w:eastAsia="pt-BR"/>
        </w:rPr>
        <w:t xml:space="preserve">Confiança: muito alta.</w:t>
      </w:r>
    </w:p>
    <w:bookmarkEnd w:id="123"/>
    <w:bookmarkStart w:id="124" w:name="Xf7d1d599ea4c97c3618cdb5b8348229beb1dfc6"/>
    <w:p>
      <w:pPr>
        <w:pStyle w:val="Heading3"/>
      </w:pPr>
      <w:r>
        <w:rPr>
          <w:lang w:val="pt-BR" w:eastAsia="pt-BR"/>
        </w:rPr>
        <w:t xml:space="preserve">5. Há evidência de que indo-europeu e outras famílias descendam do hebraico?</w:t>
      </w:r>
    </w:p>
    <w:p>
      <w:pPr>
        <w:pStyle w:val="FirstParagraph"/>
      </w:pPr>
      <w:r>
        <w:rPr>
          <w:bCs/>
          <w:b/>
          <w:lang w:val="pt-BR" w:eastAsia="pt-BR"/>
        </w:rPr>
        <w:t xml:space="preserve">Não.</w:t>
      </w:r>
      <w:r>
        <w:rPr>
          <w:lang w:val="pt-BR" w:eastAsia="pt-BR"/>
        </w:rPr>
        <w:t xml:space="preserve"> </w:t>
      </w:r>
      <w:r>
        <w:rPr>
          <w:lang w:val="pt-BR" w:eastAsia="pt-BR"/>
        </w:rPr>
        <w:t xml:space="preserve">Não há correspondências regulares, paradigmas herdados ou reconstruções intermediárias. As famílias possuem genealogias próprias. Semelhanças isoladas são explicadas por acaso, empréstimo, onomatopeia ou seleção.</w:t>
      </w:r>
      <w:r>
        <w:rPr>
          <w:lang w:val="pt-BR" w:eastAsia="pt-BR"/>
        </w:rPr>
        <w:t xml:space="preserve"> </w:t>
      </w:r>
      <w:r>
        <w:rPr>
          <w:bCs/>
          <w:b/>
          <w:lang w:val="pt-BR" w:eastAsia="pt-BR"/>
        </w:rPr>
        <w:t xml:space="preserve">Confiança: muito alta.</w:t>
      </w:r>
    </w:p>
    <w:bookmarkEnd w:id="124"/>
    <w:bookmarkStart w:id="125" w:name="Xc4bf864eb58f5a880757336d92e43afc48b0f3c"/>
    <w:p>
      <w:pPr>
        <w:pStyle w:val="Heading3"/>
      </w:pPr>
      <w:r>
        <w:rPr>
          <w:lang w:val="pt-BR" w:eastAsia="pt-BR"/>
        </w:rPr>
        <w:t xml:space="preserve">6. Há evidência linguística de que Adão falou hebraico?</w:t>
      </w:r>
    </w:p>
    <w:p>
      <w:pPr>
        <w:pStyle w:val="FirstParagraph"/>
      </w:pPr>
      <w:r>
        <w:rPr>
          <w:bCs/>
          <w:b/>
          <w:lang w:val="pt-BR" w:eastAsia="pt-BR"/>
        </w:rPr>
        <w:t xml:space="preserve">Não há evidência linguística independente.</w:t>
      </w:r>
      <w:r>
        <w:rPr>
          <w:lang w:val="pt-BR" w:eastAsia="pt-BR"/>
        </w:rPr>
        <w:t xml:space="preserve"> </w:t>
      </w:r>
      <w:r>
        <w:rPr>
          <w:lang w:val="pt-BR" w:eastAsia="pt-BR"/>
        </w:rPr>
        <w:t xml:space="preserve">Os jogos de palavras provam a forma hebraica da narrativa, não a fala histórica de personagens primevos. Como proposição teológica, ela pode ser confessada; como conclusão linguística, não é demonstrada.</w:t>
      </w:r>
      <w:r>
        <w:rPr>
          <w:lang w:val="pt-BR" w:eastAsia="pt-BR"/>
        </w:rPr>
        <w:t xml:space="preserve"> </w:t>
      </w:r>
      <w:r>
        <w:rPr>
          <w:bCs/>
          <w:b/>
          <w:lang w:val="pt-BR" w:eastAsia="pt-BR"/>
        </w:rPr>
        <w:t xml:space="preserve">Confiança: alta sobre o estado da evidência; a proposição metafísica é não testável.</w:t>
      </w:r>
    </w:p>
    <w:bookmarkEnd w:id="125"/>
    <w:bookmarkStart w:id="126" w:name="X5aee14b558a0497f61cc678376ca64441d1544e"/>
    <w:p>
      <w:pPr>
        <w:pStyle w:val="Heading3"/>
      </w:pPr>
      <w:r>
        <w:rPr>
          <w:lang w:val="pt-BR" w:eastAsia="pt-BR"/>
        </w:rPr>
        <w:t xml:space="preserve">7. Podemos determinar cientificamente a primeira língua humana?</w:t>
      </w:r>
    </w:p>
    <w:p>
      <w:pPr>
        <w:pStyle w:val="FirstParagraph"/>
      </w:pPr>
      <w:r>
        <w:rPr>
          <w:bCs/>
          <w:b/>
          <w:lang w:val="pt-BR" w:eastAsia="pt-BR"/>
        </w:rPr>
        <w:t xml:space="preserve">Não com os dados e métodos atuais.</w:t>
      </w:r>
      <w:r>
        <w:rPr>
          <w:lang w:val="pt-BR" w:eastAsia="pt-BR"/>
        </w:rPr>
        <w:t xml:space="preserve"> </w:t>
      </w:r>
      <w:r>
        <w:rPr>
          <w:lang w:val="pt-BR" w:eastAsia="pt-BR"/>
        </w:rPr>
        <w:t xml:space="preserve">A capacidade linguística é muito anterior à escrita, e o método comparativo perde resolução em profundidades muito menores.</w:t>
      </w:r>
      <w:r>
        <w:rPr>
          <w:lang w:val="pt-BR" w:eastAsia="pt-BR"/>
        </w:rPr>
        <w:t xml:space="preserve"> </w:t>
      </w:r>
      <w:r>
        <w:rPr>
          <w:bCs/>
          <w:b/>
          <w:lang w:val="pt-BR" w:eastAsia="pt-BR"/>
        </w:rPr>
        <w:t xml:space="preserve">Confiança: muito alta.</w:t>
      </w:r>
    </w:p>
    <w:bookmarkEnd w:id="126"/>
    <w:bookmarkStart w:id="127" w:name="X34936e625ae480d0ce10622e0045627946c503a"/>
    <w:p>
      <w:pPr>
        <w:pStyle w:val="Heading3"/>
      </w:pPr>
      <w:r>
        <w:rPr>
          <w:lang w:val="pt-BR" w:eastAsia="pt-BR"/>
        </w:rPr>
        <w:t xml:space="preserve">8. Qual é a origem histórica do hebraico mais bem sustentada?</w:t>
      </w:r>
    </w:p>
    <w:p>
      <w:pPr>
        <w:pStyle w:val="FirstParagraph"/>
      </w:pPr>
      <w:r>
        <w:rPr>
          <w:bCs/>
          <w:b/>
          <w:lang w:val="pt-BR" w:eastAsia="pt-BR"/>
        </w:rPr>
        <w:t xml:space="preserve">Uma variedade cananeia do Levante meridional, diferenciada dentro do semítico noroeste e documentada com crescente clareza na Idade do Ferro.</w:t>
      </w:r>
      <w:r>
        <w:rPr>
          <w:lang w:val="pt-BR" w:eastAsia="pt-BR"/>
        </w:rPr>
        <w:t xml:space="preserve"> </w:t>
      </w:r>
      <w:r>
        <w:rPr>
          <w:lang w:val="pt-BR" w:eastAsia="pt-BR"/>
        </w:rPr>
        <w:t xml:space="preserve">Ela descende de Proto-Cananeu/estágios noroestes e, em nível mais profundo, de Proto-Semítico.</w:t>
      </w:r>
      <w:r>
        <w:rPr>
          <w:lang w:val="pt-BR" w:eastAsia="pt-BR"/>
        </w:rPr>
        <w:t xml:space="preserve"> </w:t>
      </w:r>
      <w:r>
        <w:rPr>
          <w:bCs/>
          <w:b/>
          <w:lang w:val="pt-BR" w:eastAsia="pt-BR"/>
        </w:rPr>
        <w:t xml:space="preserve">Confiança: muito alta na classificação; moderada nas datas exatas e em alguns nós internos.</w:t>
      </w:r>
    </w:p>
    <w:bookmarkEnd w:id="127"/>
    <w:bookmarkEnd w:id="128"/>
    <w:bookmarkStart w:id="129" w:name="veredito-acadêmico-final"/>
    <w:p>
      <w:pPr>
        <w:pStyle w:val="Heading2"/>
      </w:pPr>
      <w:r>
        <w:rPr>
          <w:lang w:val="pt-BR" w:eastAsia="pt-BR"/>
        </w:rPr>
        <w:t xml:space="preserve">23.2 Veredito acadêmico final</w:t>
      </w:r>
    </w:p>
    <w:p>
      <w:pPr>
        <w:pStyle w:val="FirstParagraph"/>
      </w:pPr>
      <w:r>
        <w:rPr>
          <w:lang w:val="pt-BR" w:eastAsia="pt-BR"/>
        </w:rPr>
        <w:t xml:space="preserve">O teste não encontra uma única falha isolada, mas convergência de seis linhas independentes. A fonologia reconstrói sons anteriores ao hebraico; a morfologia distribui arcaísmos por várias filhas; a epigrafia situa hebraico no contínuo cananeu da Idade do Ferro; a cronologia documenta outras línguas muito antes; a filogenia o aninha num ramo; e a história intelectual mostra que a identificação adâmica nasceu de exegese, não de comparação controlada.</w:t>
      </w:r>
    </w:p>
    <w:p>
      <w:pPr>
        <w:pStyle w:val="BodyText"/>
      </w:pPr>
      <w:r>
        <w:rPr>
          <w:lang w:val="pt-BR" w:eastAsia="pt-BR"/>
        </w:rPr>
        <w:t xml:space="preserve">Por isso, a afirmação</w:t>
      </w:r>
      <w:r>
        <w:rPr>
          <w:lang w:val="pt-BR" w:eastAsia="pt-BR"/>
        </w:rPr>
        <w:t xml:space="preserve"> </w:t>
      </w:r>
      <w:r>
        <w:rPr>
          <w:lang w:val="pt-BR" w:eastAsia="pt-BR"/>
        </w:rPr>
        <w:t xml:space="preserve">“</w:t>
      </w:r>
      <w:r>
        <w:rPr>
          <w:lang w:val="pt-BR" w:eastAsia="pt-BR"/>
        </w:rPr>
        <w:t xml:space="preserve">o hebraico histórico é a língua-mãe de todas as línguas</w:t>
      </w:r>
      <w:r>
        <w:rPr>
          <w:lang w:val="pt-BR" w:eastAsia="pt-BR"/>
        </w:rPr>
        <w:t xml:space="preserve">”</w:t>
      </w:r>
      <w:r>
        <w:rPr>
          <w:lang w:val="pt-BR" w:eastAsia="pt-BR"/>
        </w:rPr>
        <w:t xml:space="preserve"> </w:t>
      </w:r>
      <w:r>
        <w:rPr>
          <w:lang w:val="pt-BR" w:eastAsia="pt-BR"/>
        </w:rPr>
        <w:t xml:space="preserve">deve ser classificada como</w:t>
      </w:r>
      <w:r>
        <w:rPr>
          <w:lang w:val="pt-BR" w:eastAsia="pt-BR"/>
        </w:rPr>
        <w:t xml:space="preserve"> </w:t>
      </w:r>
      <w:r>
        <w:rPr>
          <w:bCs/>
          <w:b/>
          <w:lang w:val="pt-BR" w:eastAsia="pt-BR"/>
        </w:rPr>
        <w:t xml:space="preserve">incompatível com a evidência acadêmica disponível</w:t>
      </w:r>
      <w:r>
        <w:rPr>
          <w:lang w:val="pt-BR" w:eastAsia="pt-BR"/>
        </w:rPr>
        <w:t xml:space="preserve">, com confiança muito alta. A afirmação</w:t>
      </w:r>
      <w:r>
        <w:rPr>
          <w:lang w:val="pt-BR" w:eastAsia="pt-BR"/>
        </w:rPr>
        <w:t xml:space="preserve"> </w:t>
      </w:r>
      <w:r>
        <w:rPr>
          <w:lang w:val="pt-BR" w:eastAsia="pt-BR"/>
        </w:rPr>
        <w:t xml:space="preserve">“</w:t>
      </w:r>
      <w:r>
        <w:rPr>
          <w:lang w:val="pt-BR" w:eastAsia="pt-BR"/>
        </w:rPr>
        <w:t xml:space="preserve">Deus teria dado a Adão uma língua que uma tradição chama de hebraico</w:t>
      </w:r>
      <w:r>
        <w:rPr>
          <w:lang w:val="pt-BR" w:eastAsia="pt-BR"/>
        </w:rPr>
        <w:t xml:space="preserve">”</w:t>
      </w:r>
      <w:r>
        <w:rPr>
          <w:lang w:val="pt-BR" w:eastAsia="pt-BR"/>
        </w:rPr>
        <w:t xml:space="preserve"> </w:t>
      </w:r>
      <w:r>
        <w:rPr>
          <w:lang w:val="pt-BR" w:eastAsia="pt-BR"/>
        </w:rPr>
        <w:t xml:space="preserve">pertence ao domínio teológico e não pode ser confirmada ou negada por correspondências fonológicas. Se essa língua postulada não possuía os traços que definem o hebraico, contudo, chamá-la de</w:t>
      </w:r>
      <w:r>
        <w:rPr>
          <w:lang w:val="pt-BR" w:eastAsia="pt-BR"/>
        </w:rPr>
        <w:t xml:space="preserve"> </w:t>
      </w:r>
      <w:r>
        <w:rPr>
          <w:lang w:val="pt-BR" w:eastAsia="pt-BR"/>
        </w:rPr>
        <w:t xml:space="preserve">“</w:t>
      </w:r>
      <w:r>
        <w:rPr>
          <w:lang w:val="pt-BR" w:eastAsia="pt-BR"/>
        </w:rPr>
        <w:t xml:space="preserve">hebraico</w:t>
      </w:r>
      <w:r>
        <w:rPr>
          <w:lang w:val="pt-BR" w:eastAsia="pt-BR"/>
        </w:rPr>
        <w:t xml:space="preserve">”</w:t>
      </w:r>
      <w:r>
        <w:rPr>
          <w:lang w:val="pt-BR" w:eastAsia="pt-BR"/>
        </w:rPr>
        <w:t xml:space="preserve"> </w:t>
      </w:r>
      <w:r>
        <w:rPr>
          <w:lang w:val="pt-BR" w:eastAsia="pt-BR"/>
        </w:rPr>
        <w:t xml:space="preserve">é uma escolha confessional, não uma classificação linguística.</w:t>
      </w:r>
    </w:p>
    <w:p>
      <w:pPr>
        <w:pStyle w:val="BodyText"/>
      </w:pPr>
      <w:r>
        <w:rPr>
          <w:lang w:val="pt-BR" w:eastAsia="pt-BR"/>
        </w:rPr>
        <w:t xml:space="preserve">O resultado mais preciso não é</w:t>
      </w:r>
      <w:r>
        <w:rPr>
          <w:lang w:val="pt-BR" w:eastAsia="pt-BR"/>
        </w:rPr>
        <w:t xml:space="preserve"> </w:t>
      </w:r>
      <w:r>
        <w:rPr>
          <w:lang w:val="pt-BR" w:eastAsia="pt-BR"/>
        </w:rPr>
        <w:t xml:space="preserve">“</w:t>
      </w:r>
      <w:r>
        <w:rPr>
          <w:lang w:val="pt-BR" w:eastAsia="pt-BR"/>
        </w:rPr>
        <w:t xml:space="preserve">sabemos qual foi a primeira língua e não foi hebraico</w:t>
      </w:r>
      <w:r>
        <w:rPr>
          <w:lang w:val="pt-BR" w:eastAsia="pt-BR"/>
        </w:rPr>
        <w:t xml:space="preserve">”</w:t>
      </w:r>
      <w:r>
        <w:rPr>
          <w:lang w:val="pt-BR" w:eastAsia="pt-BR"/>
        </w:rPr>
        <w:t xml:space="preserve">. É:</w:t>
      </w:r>
      <w:r>
        <w:rPr>
          <w:lang w:val="pt-BR" w:eastAsia="pt-BR"/>
        </w:rPr>
        <w:t xml:space="preserve"> </w:t>
      </w:r>
      <w:r>
        <w:rPr>
          <w:bCs/>
          <w:b/>
          <w:lang w:val="pt-BR" w:eastAsia="pt-BR"/>
        </w:rPr>
        <w:t xml:space="preserve">não sabemos — e provavelmente não podemos recuperar — a primeira língua humana; mas sabemos o bastante sobre a história do hebraico para rejeitar sua identificação científica com a origem de todas as famílias conhecidas.</w:t>
      </w:r>
    </w:p>
    <w:bookmarkEnd w:id="129"/>
    <w:bookmarkEnd w:id="130"/>
    <w:bookmarkStart w:id="182" w:name="bibliografia-acadêmica"/>
    <w:p>
      <w:bookmarkStart w:id="525" w:name="sec_026"/>
      <w:pPr>
        <w:pStyle w:val="Heading1"/>
        <w:pageBreakBefore/>
        <w:pBdr>
          <w:bottom w:val="single" w:sz="12" w:space="6" w:color="C4942F"/>
        </w:pBdr>
      </w:pPr>
      <w:r>
        <w:rPr>
          <w:lang w:val="pt-BR" w:eastAsia="pt-BR"/>
        </w:rPr>
        <w:t xml:space="preserve">Bibliografia acadêmica</w:t>
      </w:r>
      <w:bookmarkEnd w:id="525"/>
    </w:p>
    <w:bookmarkStart w:id="131" w:name="critério-bibliográfico"/>
    <w:p>
      <w:pPr>
        <w:pStyle w:val="Heading2"/>
      </w:pPr>
      <w:r>
        <w:rPr>
          <w:lang w:val="pt-BR" w:eastAsia="pt-BR"/>
        </w:rPr>
        <w:t xml:space="preserve">Critério bibliográfico</w:t>
      </w:r>
    </w:p>
    <w:p>
      <w:pPr>
        <w:pStyle w:val="FirstParagraph"/>
      </w:pPr>
      <w:r>
        <w:rPr>
          <w:lang w:val="pt-BR" w:eastAsia="pt-BR"/>
        </w:rPr>
        <w:t xml:space="preserve">As referências abaixo foram conferidas em páginas de editoras, periódicos, repositórios institucionais ou cópias acadêmicas. DOI, ISBN e páginas aparecem somente quando confirmados; sua ausência não foi preenchida por inferência. Links institucionais são fornecidos para auditoria. Fontes populares mencionadas ao fim servem apenas para documentar alegações contemporâneas, não para sustentar o veredito.</w:t>
      </w:r>
    </w:p>
    <w:bookmarkEnd w:id="131"/>
    <w:bookmarkStart w:id="137" w:name="Xa4faf0d37257d83c286e8a4cd15c0c68b761a88"/>
    <w:p>
      <w:pPr>
        <w:pStyle w:val="Heading2"/>
      </w:pPr>
      <w:r>
        <w:rPr>
          <w:lang w:val="pt-BR" w:eastAsia="pt-BR"/>
        </w:rPr>
        <w:t xml:space="preserve">Linguística histórica, método comparativo e filogenia</w:t>
      </w:r>
    </w:p>
    <w:p>
      <w:pPr>
        <w:pStyle w:val="FirstParagraph"/>
      </w:pPr>
      <w:r>
        <w:rPr>
          <w:lang w:val="pt-BR" w:eastAsia="pt-BR"/>
        </w:rPr>
        <w:t xml:space="preserve">Campbell, Lyle.</w:t>
      </w:r>
      <w:r>
        <w:rPr>
          <w:lang w:val="pt-BR" w:eastAsia="pt-BR"/>
        </w:rPr>
        <w:t xml:space="preserve"> </w:t>
      </w:r>
      <w:r>
        <w:rPr>
          <w:iCs/>
          <w:i/>
          <w:lang w:val="pt-BR" w:eastAsia="pt-BR"/>
        </w:rPr>
        <w:t xml:space="preserve">Historical Linguistics: An Introduction</w:t>
      </w:r>
      <w:r>
        <w:rPr>
          <w:lang w:val="pt-BR" w:eastAsia="pt-BR"/>
        </w:rPr>
        <w:t xml:space="preserve">. 3. ed. Edinburgh: Edinburgh University Press, 2013. xx + 538 p. ISBN 978-0-7486-4594-6.</w:t>
      </w:r>
    </w:p>
    <w:p>
      <w:pPr>
        <w:pStyle w:val="BodyText"/>
      </w:pPr>
      <w:r>
        <w:rPr>
          <w:lang w:val="pt-BR" w:eastAsia="pt-BR"/>
        </w:rPr>
        <w:t xml:space="preserve">Campbell, Lyle.</w:t>
      </w:r>
      <w:r>
        <w:rPr>
          <w:lang w:val="pt-BR" w:eastAsia="pt-BR"/>
        </w:rPr>
        <w:t xml:space="preserve"> </w:t>
      </w:r>
      <w:r>
        <w:rPr>
          <w:lang w:val="pt-BR" w:eastAsia="pt-BR"/>
        </w:rPr>
        <w:t xml:space="preserve">“</w:t>
      </w:r>
      <w:r>
        <w:rPr>
          <w:lang w:val="pt-BR" w:eastAsia="pt-BR"/>
        </w:rPr>
        <w:t xml:space="preserve">Language Isolates and Their History, or, What’s Weird, Anyway?</w:t>
      </w:r>
      <w:r>
        <w:rPr>
          <w:lang w:val="pt-BR" w:eastAsia="pt-BR"/>
        </w:rPr>
        <w:t xml:space="preserve">”</w:t>
      </w:r>
      <w:r>
        <w:rPr>
          <w:lang w:val="pt-BR" w:eastAsia="pt-BR"/>
        </w:rPr>
        <w:t xml:space="preserve"> </w:t>
      </w:r>
      <w:r>
        <w:rPr>
          <w:iCs/>
          <w:i/>
          <w:lang w:val="pt-BR" w:eastAsia="pt-BR"/>
        </w:rPr>
        <w:t xml:space="preserve">Proceedings of the 36th Annual Meeting of the Berkeley Linguistics Society</w:t>
      </w:r>
      <w:r>
        <w:rPr>
          <w:lang w:val="pt-BR" w:eastAsia="pt-BR"/>
        </w:rPr>
        <w:t xml:space="preserve"> </w:t>
      </w:r>
      <w:r>
        <w:rPr>
          <w:lang w:val="pt-BR" w:eastAsia="pt-BR"/>
        </w:rPr>
        <w:t xml:space="preserve">36.1 (2010): 16–31. DOI</w:t>
      </w:r>
      <w:r>
        <w:rPr>
          <w:lang w:val="pt-BR" w:eastAsia="pt-BR"/>
        </w:rPr>
        <w:t xml:space="preserve"> </w:t>
      </w:r>
      <w:hyperlink r:id="rId132">
        <w:r>
          <w:rPr>
            <w:rStyle w:val="Hyperlink"/>
            <w:color w:val="0D5B65"/>
          </w:rPr>
          <w:t xml:space="preserve">10.3765/bls.v36i1.3900</w:t>
        </w:r>
      </w:hyperlink>
      <w:r>
        <w:rPr>
          <w:lang w:val="pt-BR" w:eastAsia="pt-BR"/>
        </w:rPr>
        <w:t xml:space="preserve">.</w:t>
      </w:r>
    </w:p>
    <w:p>
      <w:pPr>
        <w:pStyle w:val="BodyText"/>
      </w:pPr>
      <w:r>
        <w:rPr>
          <w:lang w:val="pt-BR" w:eastAsia="pt-BR"/>
        </w:rPr>
        <w:t xml:space="preserve">Gray, Russell D.; Atkinson, Quentin D.; Greenhill, Simon J.</w:t>
      </w:r>
      <w:r>
        <w:rPr>
          <w:lang w:val="pt-BR" w:eastAsia="pt-BR"/>
        </w:rPr>
        <w:t xml:space="preserve"> </w:t>
      </w:r>
      <w:r>
        <w:rPr>
          <w:lang w:val="pt-BR" w:eastAsia="pt-BR"/>
        </w:rPr>
        <w:t xml:space="preserve">“</w:t>
      </w:r>
      <w:r>
        <w:rPr>
          <w:lang w:val="pt-BR" w:eastAsia="pt-BR"/>
        </w:rPr>
        <w:t xml:space="preserve">Language Evolution and Human History: What a Difference a Date Makes.</w:t>
      </w:r>
      <w:r>
        <w:rPr>
          <w:lang w:val="pt-BR" w:eastAsia="pt-BR"/>
        </w:rPr>
        <w:t xml:space="preserve">”</w:t>
      </w:r>
      <w:r>
        <w:rPr>
          <w:lang w:val="pt-BR" w:eastAsia="pt-BR"/>
        </w:rPr>
        <w:t xml:space="preserve"> </w:t>
      </w:r>
      <w:r>
        <w:rPr>
          <w:iCs/>
          <w:i/>
          <w:lang w:val="pt-BR" w:eastAsia="pt-BR"/>
        </w:rPr>
        <w:t xml:space="preserve">Philosophical Transactions of the Royal Society B</w:t>
      </w:r>
      <w:r>
        <w:rPr>
          <w:lang w:val="pt-BR" w:eastAsia="pt-BR"/>
        </w:rPr>
        <w:t xml:space="preserve"> </w:t>
      </w:r>
      <w:r>
        <w:rPr>
          <w:lang w:val="pt-BR" w:eastAsia="pt-BR"/>
        </w:rPr>
        <w:t xml:space="preserve">366 (2011): 1090–1100. DOI</w:t>
      </w:r>
      <w:r>
        <w:rPr>
          <w:lang w:val="pt-BR" w:eastAsia="pt-BR"/>
        </w:rPr>
        <w:t xml:space="preserve"> </w:t>
      </w:r>
      <w:hyperlink r:id="rId133">
        <w:r>
          <w:rPr>
            <w:rStyle w:val="Hyperlink"/>
            <w:color w:val="0D5B65"/>
          </w:rPr>
          <w:t xml:space="preserve">10.1098/rstb.2010.0378</w:t>
        </w:r>
      </w:hyperlink>
      <w:r>
        <w:rPr>
          <w:lang w:val="pt-BR" w:eastAsia="pt-BR"/>
        </w:rPr>
        <w:t xml:space="preserve">.</w:t>
      </w:r>
    </w:p>
    <w:p>
      <w:pPr>
        <w:pStyle w:val="BodyText"/>
      </w:pPr>
      <w:r>
        <w:rPr>
          <w:lang w:val="pt-BR" w:eastAsia="pt-BR"/>
        </w:rPr>
        <w:t xml:space="preserve">Heggarty, Paul.</w:t>
      </w:r>
      <w:r>
        <w:rPr>
          <w:lang w:val="pt-BR" w:eastAsia="pt-BR"/>
        </w:rPr>
        <w:t xml:space="preserve"> </w:t>
      </w:r>
      <w:r>
        <w:rPr>
          <w:lang w:val="pt-BR" w:eastAsia="pt-BR"/>
        </w:rPr>
        <w:t xml:space="preserve">“</w:t>
      </w:r>
      <w:r>
        <w:rPr>
          <w:lang w:val="pt-BR" w:eastAsia="pt-BR"/>
        </w:rPr>
        <w:t xml:space="preserve">Prehistory by Bayesian Phylogenetics? The State of the Art on Indo-European Origins.</w:t>
      </w:r>
      <w:r>
        <w:rPr>
          <w:lang w:val="pt-BR" w:eastAsia="pt-BR"/>
        </w:rPr>
        <w:t xml:space="preserve">”</w:t>
      </w:r>
      <w:r>
        <w:rPr>
          <w:lang w:val="pt-BR" w:eastAsia="pt-BR"/>
        </w:rPr>
        <w:t xml:space="preserve"> </w:t>
      </w:r>
      <w:r>
        <w:rPr>
          <w:iCs/>
          <w:i/>
          <w:lang w:val="pt-BR" w:eastAsia="pt-BR"/>
        </w:rPr>
        <w:t xml:space="preserve">Antiquity</w:t>
      </w:r>
      <w:r>
        <w:rPr>
          <w:lang w:val="pt-BR" w:eastAsia="pt-BR"/>
        </w:rPr>
        <w:t xml:space="preserve"> </w:t>
      </w:r>
      <w:r>
        <w:rPr>
          <w:lang w:val="pt-BR" w:eastAsia="pt-BR"/>
        </w:rPr>
        <w:t xml:space="preserve">88.340 (2014): 566–577. DOI</w:t>
      </w:r>
      <w:r>
        <w:rPr>
          <w:lang w:val="pt-BR" w:eastAsia="pt-BR"/>
        </w:rPr>
        <w:t xml:space="preserve"> </w:t>
      </w:r>
      <w:hyperlink r:id="rId134">
        <w:r>
          <w:rPr>
            <w:rStyle w:val="Hyperlink"/>
            <w:color w:val="0D5B65"/>
          </w:rPr>
          <w:t xml:space="preserve">10.1017/S0003598X00101188</w:t>
        </w:r>
      </w:hyperlink>
      <w:r>
        <w:rPr>
          <w:lang w:val="pt-BR" w:eastAsia="pt-BR"/>
        </w:rPr>
        <w:t xml:space="preserve">.</w:t>
      </w:r>
    </w:p>
    <w:p>
      <w:pPr>
        <w:pStyle w:val="BodyText"/>
      </w:pPr>
      <w:r>
        <w:rPr>
          <w:lang w:val="pt-BR" w:eastAsia="pt-BR"/>
        </w:rPr>
        <w:t xml:space="preserve">Munteanu, David.</w:t>
      </w:r>
      <w:r>
        <w:rPr>
          <w:lang w:val="pt-BR" w:eastAsia="pt-BR"/>
        </w:rPr>
        <w:t xml:space="preserve"> </w:t>
      </w:r>
      <w:r>
        <w:rPr>
          <w:lang w:val="pt-BR" w:eastAsia="pt-BR"/>
        </w:rPr>
        <w:t xml:space="preserve">“</w:t>
      </w:r>
      <w:r>
        <w:rPr>
          <w:lang w:val="pt-BR" w:eastAsia="pt-BR"/>
        </w:rPr>
        <w:t xml:space="preserve">Comparative Reconstruction Probabilistically.</w:t>
      </w:r>
      <w:r>
        <w:rPr>
          <w:lang w:val="pt-BR" w:eastAsia="pt-BR"/>
        </w:rPr>
        <w:t xml:space="preserve">”</w:t>
      </w:r>
      <w:r>
        <w:rPr>
          <w:lang w:val="pt-BR" w:eastAsia="pt-BR"/>
        </w:rPr>
        <w:t xml:space="preserve"> </w:t>
      </w:r>
      <w:r>
        <w:rPr>
          <w:iCs/>
          <w:i/>
          <w:lang w:val="pt-BR" w:eastAsia="pt-BR"/>
        </w:rPr>
        <w:t xml:space="preserve">Proceedings of the Annual Meetings on Phonology</w:t>
      </w:r>
      <w:r>
        <w:rPr>
          <w:lang w:val="pt-BR" w:eastAsia="pt-BR"/>
        </w:rPr>
        <w:t xml:space="preserve"> </w:t>
      </w:r>
      <w:r>
        <w:rPr>
          <w:lang w:val="pt-BR" w:eastAsia="pt-BR"/>
        </w:rPr>
        <w:t xml:space="preserve">(2022).</w:t>
      </w:r>
      <w:r>
        <w:rPr>
          <w:lang w:val="pt-BR" w:eastAsia="pt-BR"/>
        </w:rPr>
        <w:t xml:space="preserve"> </w:t>
      </w:r>
      <w:hyperlink r:id="rId135">
        <w:r>
          <w:rPr>
            <w:rStyle w:val="Hyperlink"/>
            <w:color w:val="0D5B65"/>
          </w:rPr>
          <w:t xml:space="preserve">Texto acadêmico</w:t>
        </w:r>
      </w:hyperlink>
      <w:r>
        <w:rPr>
          <w:lang w:val="pt-BR" w:eastAsia="pt-BR"/>
        </w:rPr>
        <w:t xml:space="preserve">.</w:t>
      </w:r>
    </w:p>
    <w:p>
      <w:pPr>
        <w:pStyle w:val="BodyText"/>
      </w:pPr>
      <w:r>
        <w:rPr>
          <w:lang w:val="pt-BR" w:eastAsia="pt-BR"/>
        </w:rPr>
        <w:t xml:space="preserve">Rankin, Robert L.</w:t>
      </w:r>
      <w:r>
        <w:rPr>
          <w:lang w:val="pt-BR" w:eastAsia="pt-BR"/>
        </w:rPr>
        <w:t xml:space="preserve"> </w:t>
      </w:r>
      <w:r>
        <w:rPr>
          <w:lang w:val="pt-BR" w:eastAsia="pt-BR"/>
        </w:rPr>
        <w:t xml:space="preserve">“</w:t>
      </w:r>
      <w:r>
        <w:rPr>
          <w:lang w:val="pt-BR" w:eastAsia="pt-BR"/>
        </w:rPr>
        <w:t xml:space="preserve">The Comparative Method.</w:t>
      </w:r>
      <w:r>
        <w:rPr>
          <w:lang w:val="pt-BR" w:eastAsia="pt-BR"/>
        </w:rPr>
        <w:t xml:space="preserve">”</w:t>
      </w:r>
      <w:r>
        <w:rPr>
          <w:lang w:val="pt-BR" w:eastAsia="pt-BR"/>
        </w:rPr>
        <w:t xml:space="preserve"> </w:t>
      </w:r>
      <w:r>
        <w:rPr>
          <w:lang w:val="pt-BR" w:eastAsia="pt-BR"/>
        </w:rPr>
        <w:t xml:space="preserve">In: Joseph, Brian D.; Janda, Richard D. (orgs.).</w:t>
      </w:r>
      <w:r>
        <w:rPr>
          <w:lang w:val="pt-BR" w:eastAsia="pt-BR"/>
        </w:rPr>
        <w:t xml:space="preserve"> </w:t>
      </w:r>
      <w:r>
        <w:rPr>
          <w:iCs/>
          <w:i/>
          <w:lang w:val="pt-BR" w:eastAsia="pt-BR"/>
        </w:rPr>
        <w:t xml:space="preserve">The Handbook of Historical Linguistics</w:t>
      </w:r>
      <w:r>
        <w:rPr>
          <w:lang w:val="pt-BR" w:eastAsia="pt-BR"/>
        </w:rPr>
        <w:t xml:space="preserve">. Oxford: Blackwell, 2003, p. 199–212. DOI</w:t>
      </w:r>
      <w:r>
        <w:rPr>
          <w:lang w:val="pt-BR" w:eastAsia="pt-BR"/>
        </w:rPr>
        <w:t xml:space="preserve"> </w:t>
      </w:r>
      <w:hyperlink r:id="rId136">
        <w:r>
          <w:rPr>
            <w:rStyle w:val="Hyperlink"/>
            <w:color w:val="0D5B65"/>
          </w:rPr>
          <w:t xml:space="preserve">10.1002/9780470756393.ch1</w:t>
        </w:r>
      </w:hyperlink>
      <w:r>
        <w:rPr>
          <w:lang w:val="pt-BR" w:eastAsia="pt-BR"/>
        </w:rPr>
        <w:t xml:space="preserve">.</w:t>
      </w:r>
    </w:p>
    <w:bookmarkEnd w:id="137"/>
    <w:bookmarkStart w:id="155" w:name="hebraico-semítico-e-afro-asiático"/>
    <w:p>
      <w:pPr>
        <w:pStyle w:val="Heading2"/>
      </w:pPr>
      <w:r>
        <w:rPr>
          <w:lang w:val="pt-BR" w:eastAsia="pt-BR"/>
        </w:rPr>
        <w:t xml:space="preserve">Hebraico, semítico e afro-asiático</w:t>
      </w:r>
    </w:p>
    <w:p>
      <w:pPr>
        <w:pStyle w:val="FirstParagraph"/>
      </w:pPr>
      <w:r>
        <w:rPr>
          <w:lang w:val="pt-BR" w:eastAsia="pt-BR"/>
        </w:rPr>
        <w:t xml:space="preserve">Academy of the Hebrew Language.</w:t>
      </w:r>
      <w:r>
        <w:rPr>
          <w:lang w:val="pt-BR" w:eastAsia="pt-BR"/>
        </w:rPr>
        <w:t xml:space="preserve"> </w:t>
      </w:r>
      <w:r>
        <w:rPr>
          <w:lang w:val="pt-BR" w:eastAsia="pt-BR"/>
        </w:rPr>
        <w:t xml:space="preserve">“</w:t>
      </w:r>
      <w:r>
        <w:rPr>
          <w:lang w:val="pt-BR" w:eastAsia="pt-BR"/>
        </w:rPr>
        <w:t xml:space="preserve">Hebrew through the Ages</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Eliezer Ben-Yehuda.</w:t>
      </w:r>
      <w:r>
        <w:rPr>
          <w:lang w:val="pt-BR" w:eastAsia="pt-BR"/>
        </w:rPr>
        <w:t xml:space="preserve">”</w:t>
      </w:r>
      <w:r>
        <w:rPr>
          <w:lang w:val="pt-BR" w:eastAsia="pt-BR"/>
        </w:rPr>
        <w:t xml:space="preserve"> </w:t>
      </w:r>
      <w:r>
        <w:rPr>
          <w:lang w:val="pt-BR" w:eastAsia="pt-BR"/>
        </w:rPr>
        <w:t xml:space="preserve">Jerusalém, páginas institucionais, acesso em 8 ago. 2026.</w:t>
      </w:r>
      <w:r>
        <w:rPr>
          <w:lang w:val="pt-BR" w:eastAsia="pt-BR"/>
        </w:rPr>
        <w:t xml:space="preserve"> </w:t>
      </w:r>
      <w:hyperlink r:id="rId138">
        <w:r>
          <w:rPr>
            <w:rStyle w:val="Hyperlink"/>
            <w:color w:val="0D5B65"/>
          </w:rPr>
          <w:t xml:space="preserve">Portal acadêmico</w:t>
        </w:r>
      </w:hyperlink>
      <w:r>
        <w:rPr>
          <w:lang w:val="pt-BR" w:eastAsia="pt-BR"/>
        </w:rPr>
        <w:t xml:space="preserve">.</w:t>
      </w:r>
    </w:p>
    <w:p>
      <w:pPr>
        <w:pStyle w:val="BodyText"/>
      </w:pPr>
      <w:r>
        <w:rPr>
          <w:lang w:val="pt-BR" w:eastAsia="pt-BR"/>
        </w:rPr>
        <w:t xml:space="preserve">Frajzyngier, Zygmunt; Shay, Erin (orgs.).</w:t>
      </w:r>
      <w:r>
        <w:rPr>
          <w:lang w:val="pt-BR" w:eastAsia="pt-BR"/>
        </w:rPr>
        <w:t xml:space="preserve"> </w:t>
      </w:r>
      <w:r>
        <w:rPr>
          <w:iCs/>
          <w:i/>
          <w:lang w:val="pt-BR" w:eastAsia="pt-BR"/>
        </w:rPr>
        <w:t xml:space="preserve">The Afroasiatic Languages</w:t>
      </w:r>
      <w:r>
        <w:rPr>
          <w:lang w:val="pt-BR" w:eastAsia="pt-BR"/>
        </w:rPr>
        <w:t xml:space="preserve">. Cambridge: Cambridge University Press, 2012. ISBN 978-0-521-86533-3.</w:t>
      </w:r>
      <w:r>
        <w:rPr>
          <w:lang w:val="pt-BR" w:eastAsia="pt-BR"/>
        </w:rPr>
        <w:t xml:space="preserve"> </w:t>
      </w:r>
      <w:hyperlink r:id="rId139">
        <w:r>
          <w:rPr>
            <w:rStyle w:val="Hyperlink"/>
            <w:color w:val="0D5B65"/>
          </w:rPr>
          <w:t xml:space="preserve">Trecho disponibilizado pela editora</w:t>
        </w:r>
      </w:hyperlink>
      <w:r>
        <w:rPr>
          <w:lang w:val="pt-BR" w:eastAsia="pt-BR"/>
        </w:rPr>
        <w:t xml:space="preserve">.</w:t>
      </w:r>
    </w:p>
    <w:p>
      <w:pPr>
        <w:pStyle w:val="BodyText"/>
      </w:pPr>
      <w:r>
        <w:rPr>
          <w:lang w:val="pt-BR" w:eastAsia="pt-BR"/>
        </w:rPr>
        <w:t xml:space="preserve">Glottolog 5.2.</w:t>
      </w:r>
      <w:r>
        <w:rPr>
          <w:lang w:val="pt-BR" w:eastAsia="pt-BR"/>
        </w:rPr>
        <w:t xml:space="preserve"> </w:t>
      </w:r>
      <w:r>
        <w:rPr>
          <w:lang w:val="pt-BR" w:eastAsia="pt-BR"/>
        </w:rPr>
        <w:t xml:space="preserve">“</w:t>
      </w:r>
      <w:r>
        <w:rPr>
          <w:lang w:val="pt-BR" w:eastAsia="pt-BR"/>
        </w:rPr>
        <w:t xml:space="preserve">Afro-Asiatic</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Canaanite</w:t>
      </w:r>
      <w:r>
        <w:rPr>
          <w:lang w:val="pt-BR" w:eastAsia="pt-BR"/>
        </w:rPr>
        <w:t xml:space="preserve">”</w:t>
      </w:r>
      <w:r>
        <w:rPr>
          <w:lang w:val="pt-BR" w:eastAsia="pt-BR"/>
        </w:rPr>
        <w:t xml:space="preserve">;</w:t>
      </w:r>
      <w:r>
        <w:rPr>
          <w:lang w:val="pt-BR" w:eastAsia="pt-BR"/>
        </w:rPr>
        <w:t xml:space="preserve"> </w:t>
      </w:r>
      <w:r>
        <w:rPr>
          <w:lang w:val="pt-BR" w:eastAsia="pt-BR"/>
        </w:rPr>
        <w:t xml:space="preserve">“</w:t>
      </w:r>
      <w:r>
        <w:rPr>
          <w:lang w:val="pt-BR" w:eastAsia="pt-BR"/>
        </w:rPr>
        <w:t xml:space="preserve">Ancient Hebrew.</w:t>
      </w:r>
      <w:r>
        <w:rPr>
          <w:lang w:val="pt-BR" w:eastAsia="pt-BR"/>
        </w:rPr>
        <w:t xml:space="preserve">”</w:t>
      </w:r>
      <w:r>
        <w:rPr>
          <w:lang w:val="pt-BR" w:eastAsia="pt-BR"/>
        </w:rPr>
        <w:t xml:space="preserve"> </w:t>
      </w:r>
      <w:r>
        <w:rPr>
          <w:lang w:val="pt-BR" w:eastAsia="pt-BR"/>
        </w:rPr>
        <w:t xml:space="preserve">Leipzig: Max Planck Institute for Evolutionary Anthropology, base continuamente atualizada, acesso em 8 ago. 2026.</w:t>
      </w:r>
      <w:r>
        <w:rPr>
          <w:lang w:val="pt-BR" w:eastAsia="pt-BR"/>
        </w:rPr>
        <w:t xml:space="preserve"> </w:t>
      </w:r>
      <w:hyperlink r:id="rId140">
        <w:r>
          <w:rPr>
            <w:rStyle w:val="Hyperlink"/>
            <w:color w:val="0D5B65"/>
          </w:rPr>
          <w:t xml:space="preserve">Afro-Asiatic</w:t>
        </w:r>
      </w:hyperlink>
      <w:r>
        <w:rPr>
          <w:lang w:val="pt-BR" w:eastAsia="pt-BR"/>
        </w:rPr>
        <w:t xml:space="preserve">;</w:t>
      </w:r>
      <w:r>
        <w:rPr>
          <w:lang w:val="pt-BR" w:eastAsia="pt-BR"/>
        </w:rPr>
        <w:t xml:space="preserve"> </w:t>
      </w:r>
      <w:hyperlink r:id="rId141">
        <w:r>
          <w:rPr>
            <w:rStyle w:val="Hyperlink"/>
            <w:color w:val="0D5B65"/>
          </w:rPr>
          <w:t xml:space="preserve">Canaanite</w:t>
        </w:r>
      </w:hyperlink>
      <w:r>
        <w:rPr>
          <w:lang w:val="pt-BR" w:eastAsia="pt-BR"/>
        </w:rPr>
        <w:t xml:space="preserve">;</w:t>
      </w:r>
      <w:r>
        <w:rPr>
          <w:lang w:val="pt-BR" w:eastAsia="pt-BR"/>
        </w:rPr>
        <w:t xml:space="preserve"> </w:t>
      </w:r>
      <w:hyperlink r:id="rId142">
        <w:r>
          <w:rPr>
            <w:rStyle w:val="Hyperlink"/>
            <w:color w:val="0D5B65"/>
          </w:rPr>
          <w:t xml:space="preserve">Ancient Hebrew</w:t>
        </w:r>
      </w:hyperlink>
      <w:r>
        <w:rPr>
          <w:lang w:val="pt-BR" w:eastAsia="pt-BR"/>
        </w:rPr>
        <w:t xml:space="preserve">.</w:t>
      </w:r>
    </w:p>
    <w:p>
      <w:pPr>
        <w:pStyle w:val="BodyText"/>
      </w:pPr>
      <w:r>
        <w:rPr>
          <w:lang w:val="pt-BR" w:eastAsia="pt-BR"/>
        </w:rPr>
        <w:t xml:space="preserve">Gragg, Gene.</w:t>
      </w:r>
      <w:r>
        <w:rPr>
          <w:lang w:val="pt-BR" w:eastAsia="pt-BR"/>
        </w:rPr>
        <w:t xml:space="preserve"> </w:t>
      </w:r>
      <w:r>
        <w:rPr>
          <w:lang w:val="pt-BR" w:eastAsia="pt-BR"/>
        </w:rPr>
        <w:t xml:space="preserve">“</w:t>
      </w:r>
      <w:r>
        <w:rPr>
          <w:lang w:val="pt-BR" w:eastAsia="pt-BR"/>
        </w:rPr>
        <w:t xml:space="preserve">Semitic and Afro-Asiatic.</w:t>
      </w:r>
      <w:r>
        <w:rPr>
          <w:lang w:val="pt-BR" w:eastAsia="pt-BR"/>
        </w:rPr>
        <w:t xml:space="preserve">”</w:t>
      </w:r>
      <w:r>
        <w:rPr>
          <w:lang w:val="pt-BR" w:eastAsia="pt-BR"/>
        </w:rPr>
        <w:t xml:space="preserve"> </w:t>
      </w:r>
      <w:r>
        <w:rPr>
          <w:lang w:val="pt-BR" w:eastAsia="pt-BR"/>
        </w:rPr>
        <w:t xml:space="preserve">In: Huehnergard, John; Pat-El, Naʿama (orgs.).</w:t>
      </w:r>
      <w:r>
        <w:rPr>
          <w:lang w:val="pt-BR" w:eastAsia="pt-BR"/>
        </w:rPr>
        <w:t xml:space="preserve"> </w:t>
      </w:r>
      <w:r>
        <w:rPr>
          <w:iCs/>
          <w:i/>
          <w:lang w:val="pt-BR" w:eastAsia="pt-BR"/>
        </w:rPr>
        <w:t xml:space="preserve">The Semitic Languages</w:t>
      </w:r>
      <w:r>
        <w:rPr>
          <w:lang w:val="pt-BR" w:eastAsia="pt-BR"/>
        </w:rPr>
        <w:t xml:space="preserve">. 2. ed. Londres/Nova York: Routledge, 2019, p. 22–48. DOI do livro</w:t>
      </w:r>
      <w:r>
        <w:rPr>
          <w:lang w:val="pt-BR" w:eastAsia="pt-BR"/>
        </w:rPr>
        <w:t xml:space="preserve"> </w:t>
      </w:r>
      <w:hyperlink r:id="rId143">
        <w:r>
          <w:rPr>
            <w:rStyle w:val="Hyperlink"/>
            <w:color w:val="0D5B65"/>
          </w:rPr>
          <w:t xml:space="preserve">10.4324/9780429025563</w:t>
        </w:r>
      </w:hyperlink>
      <w:r>
        <w:rPr>
          <w:lang w:val="pt-BR" w:eastAsia="pt-BR"/>
        </w:rPr>
        <w:t xml:space="preserve">.</w:t>
      </w:r>
    </w:p>
    <w:p>
      <w:pPr>
        <w:pStyle w:val="BodyText"/>
      </w:pPr>
      <w:r>
        <w:rPr>
          <w:lang w:val="pt-BR" w:eastAsia="pt-BR"/>
        </w:rPr>
        <w:t xml:space="preserve">Huehnergard, John.</w:t>
      </w:r>
      <w:r>
        <w:rPr>
          <w:lang w:val="pt-BR" w:eastAsia="pt-BR"/>
        </w:rPr>
        <w:t xml:space="preserve"> </w:t>
      </w:r>
      <w:r>
        <w:rPr>
          <w:lang w:val="pt-BR" w:eastAsia="pt-BR"/>
        </w:rPr>
        <w:t xml:space="preserve">“</w:t>
      </w:r>
      <w:r>
        <w:rPr>
          <w:lang w:val="pt-BR" w:eastAsia="pt-BR"/>
        </w:rPr>
        <w:t xml:space="preserve">Proto-Semitic.</w:t>
      </w:r>
      <w:r>
        <w:rPr>
          <w:lang w:val="pt-BR" w:eastAsia="pt-BR"/>
        </w:rPr>
        <w:t xml:space="preserve">”</w:t>
      </w:r>
      <w:r>
        <w:rPr>
          <w:lang w:val="pt-BR" w:eastAsia="pt-BR"/>
        </w:rPr>
        <w:t xml:space="preserve"> </w:t>
      </w:r>
      <w:r>
        <w:rPr>
          <w:lang w:val="pt-BR" w:eastAsia="pt-BR"/>
        </w:rPr>
        <w:t xml:space="preserve">In: Huehnergard, John; Pat-El, Naʿama (orgs.).</w:t>
      </w:r>
      <w:r>
        <w:rPr>
          <w:lang w:val="pt-BR" w:eastAsia="pt-BR"/>
        </w:rPr>
        <w:t xml:space="preserve"> </w:t>
      </w:r>
      <w:r>
        <w:rPr>
          <w:iCs/>
          <w:i/>
          <w:lang w:val="pt-BR" w:eastAsia="pt-BR"/>
        </w:rPr>
        <w:t xml:space="preserve">The Semitic Languages</w:t>
      </w:r>
      <w:r>
        <w:rPr>
          <w:lang w:val="pt-BR" w:eastAsia="pt-BR"/>
        </w:rPr>
        <w:t xml:space="preserve">. 2. ed. Londres/Nova York: Routledge, 2019, p. 49–79. DOI</w:t>
      </w:r>
      <w:r>
        <w:rPr>
          <w:lang w:val="pt-BR" w:eastAsia="pt-BR"/>
        </w:rPr>
        <w:t xml:space="preserve"> </w:t>
      </w:r>
      <w:hyperlink r:id="rId144">
        <w:r>
          <w:rPr>
            <w:rStyle w:val="Hyperlink"/>
            <w:color w:val="0D5B65"/>
          </w:rPr>
          <w:t xml:space="preserve">10.4324/9780429025563-3</w:t>
        </w:r>
      </w:hyperlink>
      <w:r>
        <w:rPr>
          <w:lang w:val="pt-BR" w:eastAsia="pt-BR"/>
        </w:rPr>
        <w:t xml:space="preserve">.</w:t>
      </w:r>
    </w:p>
    <w:p>
      <w:pPr>
        <w:pStyle w:val="BodyText"/>
      </w:pPr>
      <w:r>
        <w:rPr>
          <w:lang w:val="pt-BR" w:eastAsia="pt-BR"/>
        </w:rPr>
        <w:t xml:space="preserve">Huehnergard, John; Pat-El, Naʿama (orgs.).</w:t>
      </w:r>
      <w:r>
        <w:rPr>
          <w:lang w:val="pt-BR" w:eastAsia="pt-BR"/>
        </w:rPr>
        <w:t xml:space="preserve"> </w:t>
      </w:r>
      <w:r>
        <w:rPr>
          <w:iCs/>
          <w:i/>
          <w:lang w:val="pt-BR" w:eastAsia="pt-BR"/>
        </w:rPr>
        <w:t xml:space="preserve">The Semitic Languages</w:t>
      </w:r>
      <w:r>
        <w:rPr>
          <w:lang w:val="pt-BR" w:eastAsia="pt-BR"/>
        </w:rPr>
        <w:t xml:space="preserve">. 2. ed. Londres/Nova York: Routledge, 2019. 772 p. ISBN 978-0-415-73195-9; e-book 978-0-429-02556-3. DOI</w:t>
      </w:r>
      <w:r>
        <w:rPr>
          <w:lang w:val="pt-BR" w:eastAsia="pt-BR"/>
        </w:rPr>
        <w:t xml:space="preserve"> </w:t>
      </w:r>
      <w:hyperlink r:id="rId143">
        <w:r>
          <w:rPr>
            <w:rStyle w:val="Hyperlink"/>
            <w:color w:val="0D5B65"/>
          </w:rPr>
          <w:t xml:space="preserve">10.4324/9780429025563</w:t>
        </w:r>
      </w:hyperlink>
      <w:r>
        <w:rPr>
          <w:lang w:val="pt-BR" w:eastAsia="pt-BR"/>
        </w:rPr>
        <w:t xml:space="preserve">.</w:t>
      </w:r>
    </w:p>
    <w:p>
      <w:pPr>
        <w:pStyle w:val="BodyText"/>
      </w:pPr>
      <w:r>
        <w:rPr>
          <w:lang w:val="pt-BR" w:eastAsia="pt-BR"/>
        </w:rPr>
        <w:t xml:space="preserve">Khan, Geoffrey.</w:t>
      </w:r>
      <w:r>
        <w:rPr>
          <w:lang w:val="pt-BR" w:eastAsia="pt-BR"/>
        </w:rPr>
        <w:t xml:space="preserve"> </w:t>
      </w:r>
      <w:r>
        <w:rPr>
          <w:lang w:val="pt-BR" w:eastAsia="pt-BR"/>
        </w:rPr>
        <w:t xml:space="preserve">“</w:t>
      </w:r>
      <w:r>
        <w:rPr>
          <w:lang w:val="pt-BR" w:eastAsia="pt-BR"/>
        </w:rPr>
        <w:t xml:space="preserve">The Languages of the Old Testament.</w:t>
      </w:r>
      <w:r>
        <w:rPr>
          <w:lang w:val="pt-BR" w:eastAsia="pt-BR"/>
        </w:rPr>
        <w:t xml:space="preserve">”</w:t>
      </w:r>
      <w:r>
        <w:rPr>
          <w:lang w:val="pt-BR" w:eastAsia="pt-BR"/>
        </w:rPr>
        <w:t xml:space="preserve"> </w:t>
      </w:r>
      <w:r>
        <w:rPr>
          <w:lang w:val="pt-BR" w:eastAsia="pt-BR"/>
        </w:rPr>
        <w:t xml:space="preserve">In: Paget, James Carleton; Schaper, Joachim (orgs.).</w:t>
      </w:r>
      <w:r>
        <w:rPr>
          <w:lang w:val="pt-BR" w:eastAsia="pt-BR"/>
        </w:rPr>
        <w:t xml:space="preserve"> </w:t>
      </w:r>
      <w:r>
        <w:rPr>
          <w:iCs/>
          <w:i/>
          <w:lang w:val="pt-BR" w:eastAsia="pt-BR"/>
        </w:rPr>
        <w:t xml:space="preserve">The New Cambridge History of the Bible, v. 1: From the Beginnings to 600</w:t>
      </w:r>
      <w:r>
        <w:rPr>
          <w:lang w:val="pt-BR" w:eastAsia="pt-BR"/>
        </w:rPr>
        <w:t xml:space="preserve">. Cambridge: Cambridge University Press, 2013, p. 3–21. DOI</w:t>
      </w:r>
      <w:r>
        <w:rPr>
          <w:lang w:val="pt-BR" w:eastAsia="pt-BR"/>
        </w:rPr>
        <w:t xml:space="preserve"> </w:t>
      </w:r>
      <w:hyperlink r:id="rId145">
        <w:r>
          <w:rPr>
            <w:rStyle w:val="Hyperlink"/>
            <w:color w:val="0D5B65"/>
          </w:rPr>
          <w:t xml:space="preserve">10.1017/CBO9781139033671.004</w:t>
        </w:r>
      </w:hyperlink>
      <w:r>
        <w:rPr>
          <w:lang w:val="pt-BR" w:eastAsia="pt-BR"/>
        </w:rPr>
        <w:t xml:space="preserve">.</w:t>
      </w:r>
    </w:p>
    <w:p>
      <w:pPr>
        <w:pStyle w:val="BodyText"/>
      </w:pPr>
      <w:r>
        <w:rPr>
          <w:lang w:val="pt-BR" w:eastAsia="pt-BR"/>
        </w:rPr>
        <w:t xml:space="preserve">Kogan, Leonid.</w:t>
      </w:r>
      <w:r>
        <w:rPr>
          <w:lang w:val="pt-BR" w:eastAsia="pt-BR"/>
        </w:rPr>
        <w:t xml:space="preserve"> </w:t>
      </w:r>
      <w:r>
        <w:rPr>
          <w:lang w:val="pt-BR" w:eastAsia="pt-BR"/>
        </w:rPr>
        <w:t xml:space="preserve">“</w:t>
      </w:r>
      <w:r>
        <w:rPr>
          <w:lang w:val="pt-BR" w:eastAsia="pt-BR"/>
        </w:rPr>
        <w:t xml:space="preserve">Proto-Semitic Vowels and Aspects of the Comparative Semitic Method.</w:t>
      </w:r>
      <w:r>
        <w:rPr>
          <w:lang w:val="pt-BR" w:eastAsia="pt-BR"/>
        </w:rPr>
        <w:t xml:space="preserve">”</w:t>
      </w:r>
      <w:r>
        <w:rPr>
          <w:lang w:val="pt-BR" w:eastAsia="pt-BR"/>
        </w:rPr>
        <w:t xml:space="preserve"> </w:t>
      </w:r>
      <w:r>
        <w:rPr>
          <w:iCs/>
          <w:i/>
          <w:lang w:val="pt-BR" w:eastAsia="pt-BR"/>
        </w:rPr>
        <w:t xml:space="preserve">Aula Orientalis</w:t>
      </w:r>
      <w:r>
        <w:rPr>
          <w:lang w:val="pt-BR" w:eastAsia="pt-BR"/>
        </w:rPr>
        <w:t xml:space="preserve"> </w:t>
      </w:r>
      <w:r>
        <w:rPr>
          <w:lang w:val="pt-BR" w:eastAsia="pt-BR"/>
        </w:rPr>
        <w:t xml:space="preserve">23 (2005): 131–167.</w:t>
      </w:r>
      <w:r>
        <w:rPr>
          <w:lang w:val="pt-BR" w:eastAsia="pt-BR"/>
        </w:rPr>
        <w:t xml:space="preserve"> </w:t>
      </w:r>
      <w:hyperlink r:id="rId146">
        <w:r>
          <w:rPr>
            <w:rStyle w:val="Hyperlink"/>
            <w:color w:val="0D5B65"/>
          </w:rPr>
          <w:t xml:space="preserve">Texto do periódico</w:t>
        </w:r>
      </w:hyperlink>
      <w:r>
        <w:rPr>
          <w:lang w:val="pt-BR" w:eastAsia="pt-BR"/>
        </w:rPr>
        <w:t xml:space="preserve">.</w:t>
      </w:r>
    </w:p>
    <w:p>
      <w:pPr>
        <w:pStyle w:val="BodyText"/>
      </w:pPr>
      <w:r>
        <w:rPr>
          <w:lang w:val="pt-BR" w:eastAsia="pt-BR"/>
        </w:rPr>
        <w:t xml:space="preserve">Pat-El, Naʿama; Wilson-Wright, Aren M.</w:t>
      </w:r>
      <w:r>
        <w:rPr>
          <w:lang w:val="pt-BR" w:eastAsia="pt-BR"/>
        </w:rPr>
        <w:t xml:space="preserve"> </w:t>
      </w:r>
      <w:r>
        <w:rPr>
          <w:lang w:val="pt-BR" w:eastAsia="pt-BR"/>
        </w:rPr>
        <w:t xml:space="preserve">“</w:t>
      </w:r>
      <w:r>
        <w:rPr>
          <w:lang w:val="pt-BR" w:eastAsia="pt-BR"/>
        </w:rPr>
        <w:t xml:space="preserve">The Features of Canaanite: A Re-evaluation.</w:t>
      </w:r>
      <w:r>
        <w:rPr>
          <w:lang w:val="pt-BR" w:eastAsia="pt-BR"/>
        </w:rPr>
        <w:t xml:space="preserve">”</w:t>
      </w:r>
      <w:r>
        <w:rPr>
          <w:lang w:val="pt-BR" w:eastAsia="pt-BR"/>
        </w:rPr>
        <w:t xml:space="preserve"> </w:t>
      </w:r>
      <w:r>
        <w:rPr>
          <w:iCs/>
          <w:i/>
          <w:lang w:val="pt-BR" w:eastAsia="pt-BR"/>
        </w:rPr>
        <w:t xml:space="preserve">Zeitschrift der Deutschen Morgenländischen Gesellschaft</w:t>
      </w:r>
      <w:r>
        <w:rPr>
          <w:lang w:val="pt-BR" w:eastAsia="pt-BR"/>
        </w:rPr>
        <w:t xml:space="preserve"> </w:t>
      </w:r>
      <w:r>
        <w:rPr>
          <w:lang w:val="pt-BR" w:eastAsia="pt-BR"/>
        </w:rPr>
        <w:t xml:space="preserve">166 (2016): 41–55.</w:t>
      </w:r>
      <w:r>
        <w:rPr>
          <w:lang w:val="pt-BR" w:eastAsia="pt-BR"/>
        </w:rPr>
        <w:t xml:space="preserve"> </w:t>
      </w:r>
      <w:hyperlink r:id="rId147">
        <w:r>
          <w:rPr>
            <w:rStyle w:val="Hyperlink"/>
            <w:color w:val="0D5B65"/>
          </w:rPr>
          <w:t xml:space="preserve">Texto acadêmico</w:t>
        </w:r>
      </w:hyperlink>
      <w:r>
        <w:rPr>
          <w:lang w:val="pt-BR" w:eastAsia="pt-BR"/>
        </w:rPr>
        <w:t xml:space="preserve">.</w:t>
      </w:r>
    </w:p>
    <w:p>
      <w:pPr>
        <w:pStyle w:val="BodyText"/>
      </w:pPr>
      <w:r>
        <w:rPr>
          <w:lang w:val="pt-BR" w:eastAsia="pt-BR"/>
        </w:rPr>
        <w:t xml:space="preserve">Pat-El, Naʿama; Wilson-Wright, Aren M.</w:t>
      </w:r>
      <w:r>
        <w:rPr>
          <w:lang w:val="pt-BR" w:eastAsia="pt-BR"/>
        </w:rPr>
        <w:t xml:space="preserve"> </w:t>
      </w:r>
      <w:r>
        <w:rPr>
          <w:lang w:val="pt-BR" w:eastAsia="pt-BR"/>
        </w:rPr>
        <w:t xml:space="preserve">“</w:t>
      </w:r>
      <w:r>
        <w:rPr>
          <w:lang w:val="pt-BR" w:eastAsia="pt-BR"/>
        </w:rPr>
        <w:t xml:space="preserve">Features of Aramaeo-Canaanite.</w:t>
      </w:r>
      <w:r>
        <w:rPr>
          <w:lang w:val="pt-BR" w:eastAsia="pt-BR"/>
        </w:rPr>
        <w:t xml:space="preserve">”</w:t>
      </w:r>
      <w:r>
        <w:rPr>
          <w:lang w:val="pt-BR" w:eastAsia="pt-BR"/>
        </w:rPr>
        <w:t xml:space="preserve"> </w:t>
      </w:r>
      <w:r>
        <w:rPr>
          <w:iCs/>
          <w:i/>
          <w:lang w:val="pt-BR" w:eastAsia="pt-BR"/>
        </w:rPr>
        <w:t xml:space="preserve">Journal of the American Oriental Society</w:t>
      </w:r>
      <w:r>
        <w:rPr>
          <w:lang w:val="pt-BR" w:eastAsia="pt-BR"/>
        </w:rPr>
        <w:t xml:space="preserve"> </w:t>
      </w:r>
      <w:r>
        <w:rPr>
          <w:lang w:val="pt-BR" w:eastAsia="pt-BR"/>
        </w:rPr>
        <w:t xml:space="preserve">138.4 (2018): 781–806. DOI</w:t>
      </w:r>
      <w:r>
        <w:rPr>
          <w:lang w:val="pt-BR" w:eastAsia="pt-BR"/>
        </w:rPr>
        <w:t xml:space="preserve"> </w:t>
      </w:r>
      <w:hyperlink r:id="rId148">
        <w:r>
          <w:rPr>
            <w:rStyle w:val="Hyperlink"/>
            <w:color w:val="0D5B65"/>
          </w:rPr>
          <w:t xml:space="preserve">10.7817/jameroriesoci.138.4.0781</w:t>
        </w:r>
      </w:hyperlink>
      <w:r>
        <w:rPr>
          <w:lang w:val="pt-BR" w:eastAsia="pt-BR"/>
        </w:rPr>
        <w:t xml:space="preserve">.</w:t>
      </w:r>
    </w:p>
    <w:p>
      <w:pPr>
        <w:pStyle w:val="BodyText"/>
      </w:pPr>
      <w:r>
        <w:rPr>
          <w:lang w:val="pt-BR" w:eastAsia="pt-BR"/>
        </w:rPr>
        <w:t xml:space="preserve">Rubin, Aaron D.</w:t>
      </w:r>
      <w:r>
        <w:rPr>
          <w:lang w:val="pt-BR" w:eastAsia="pt-BR"/>
        </w:rPr>
        <w:t xml:space="preserve"> </w:t>
      </w:r>
      <w:r>
        <w:rPr>
          <w:lang w:val="pt-BR" w:eastAsia="pt-BR"/>
        </w:rPr>
        <w:t xml:space="preserve">“</w:t>
      </w:r>
      <w:r>
        <w:rPr>
          <w:lang w:val="pt-BR" w:eastAsia="pt-BR"/>
        </w:rPr>
        <w:t xml:space="preserve">The Subgrouping of the Semitic Languages.</w:t>
      </w:r>
      <w:r>
        <w:rPr>
          <w:lang w:val="pt-BR" w:eastAsia="pt-BR"/>
        </w:rPr>
        <w:t xml:space="preserve">”</w:t>
      </w:r>
      <w:r>
        <w:rPr>
          <w:lang w:val="pt-BR" w:eastAsia="pt-BR"/>
        </w:rPr>
        <w:t xml:space="preserve"> </w:t>
      </w:r>
      <w:r>
        <w:rPr>
          <w:iCs/>
          <w:i/>
          <w:lang w:val="pt-BR" w:eastAsia="pt-BR"/>
        </w:rPr>
        <w:t xml:space="preserve">Language and Linguistics Compass</w:t>
      </w:r>
      <w:r>
        <w:rPr>
          <w:lang w:val="pt-BR" w:eastAsia="pt-BR"/>
        </w:rPr>
        <w:t xml:space="preserve"> </w:t>
      </w:r>
      <w:r>
        <w:rPr>
          <w:lang w:val="pt-BR" w:eastAsia="pt-BR"/>
        </w:rPr>
        <w:t xml:space="preserve">2.1 (2008). DOI</w:t>
      </w:r>
      <w:r>
        <w:rPr>
          <w:lang w:val="pt-BR" w:eastAsia="pt-BR"/>
        </w:rPr>
        <w:t xml:space="preserve"> </w:t>
      </w:r>
      <w:hyperlink r:id="rId149">
        <w:r>
          <w:rPr>
            <w:rStyle w:val="Hyperlink"/>
            <w:color w:val="0D5B65"/>
          </w:rPr>
          <w:t xml:space="preserve">10.1111/j.1749-818X.2007.00044.x</w:t>
        </w:r>
      </w:hyperlink>
      <w:r>
        <w:rPr>
          <w:lang w:val="pt-BR" w:eastAsia="pt-BR"/>
        </w:rPr>
        <w:t xml:space="preserve">.</w:t>
      </w:r>
    </w:p>
    <w:p>
      <w:pPr>
        <w:pStyle w:val="BodyText"/>
      </w:pPr>
      <w:r>
        <w:rPr>
          <w:lang w:val="pt-BR" w:eastAsia="pt-BR"/>
        </w:rPr>
        <w:t xml:space="preserve">Rubin, Aaron D.</w:t>
      </w:r>
      <w:r>
        <w:rPr>
          <w:lang w:val="pt-BR" w:eastAsia="pt-BR"/>
        </w:rPr>
        <w:t xml:space="preserve"> </w:t>
      </w:r>
      <w:r>
        <w:rPr>
          <w:lang w:val="pt-BR" w:eastAsia="pt-BR"/>
        </w:rPr>
        <w:t xml:space="preserve">“</w:t>
      </w:r>
      <w:r>
        <w:rPr>
          <w:lang w:val="pt-BR" w:eastAsia="pt-BR"/>
        </w:rPr>
        <w:t xml:space="preserve">The Semitic Language Family.</w:t>
      </w:r>
      <w:r>
        <w:rPr>
          <w:lang w:val="pt-BR" w:eastAsia="pt-BR"/>
        </w:rPr>
        <w:t xml:space="preserve">”</w:t>
      </w:r>
      <w:r>
        <w:rPr>
          <w:lang w:val="pt-BR" w:eastAsia="pt-BR"/>
        </w:rPr>
        <w:t xml:space="preserve"> </w:t>
      </w:r>
      <w:r>
        <w:rPr>
          <w:lang w:val="pt-BR" w:eastAsia="pt-BR"/>
        </w:rPr>
        <w:t xml:space="preserve">In: Aikhenvald, Alexandra Y.; Dixon, R. M. W. (orgs.).</w:t>
      </w:r>
      <w:r>
        <w:rPr>
          <w:lang w:val="pt-BR" w:eastAsia="pt-BR"/>
        </w:rPr>
        <w:t xml:space="preserve"> </w:t>
      </w:r>
      <w:r>
        <w:rPr>
          <w:iCs/>
          <w:i/>
          <w:lang w:val="pt-BR" w:eastAsia="pt-BR"/>
        </w:rPr>
        <w:t xml:space="preserve">The Cambridge Handbook of Linguistic Typology</w:t>
      </w:r>
      <w:r>
        <w:rPr>
          <w:lang w:val="pt-BR" w:eastAsia="pt-BR"/>
        </w:rPr>
        <w:t xml:space="preserve">. Cambridge: Cambridge University Press, 2017. DOI</w:t>
      </w:r>
      <w:r>
        <w:rPr>
          <w:lang w:val="pt-BR" w:eastAsia="pt-BR"/>
        </w:rPr>
        <w:t xml:space="preserve"> </w:t>
      </w:r>
      <w:hyperlink r:id="rId150">
        <w:r>
          <w:rPr>
            <w:rStyle w:val="Hyperlink"/>
            <w:color w:val="0D5B65"/>
          </w:rPr>
          <w:t xml:space="preserve">10.1017/9781316135716.027</w:t>
        </w:r>
      </w:hyperlink>
      <w:r>
        <w:rPr>
          <w:lang w:val="pt-BR" w:eastAsia="pt-BR"/>
        </w:rPr>
        <w:t xml:space="preserve">.</w:t>
      </w:r>
    </w:p>
    <w:p>
      <w:pPr>
        <w:pStyle w:val="BodyText"/>
      </w:pPr>
      <w:r>
        <w:rPr>
          <w:lang w:val="pt-BR" w:eastAsia="pt-BR"/>
        </w:rPr>
        <w:t xml:space="preserve">Sáenz-Badillos, Angel.</w:t>
      </w:r>
      <w:r>
        <w:rPr>
          <w:lang w:val="pt-BR" w:eastAsia="pt-BR"/>
        </w:rPr>
        <w:t xml:space="preserve"> </w:t>
      </w:r>
      <w:r>
        <w:rPr>
          <w:iCs/>
          <w:i/>
          <w:lang w:val="pt-BR" w:eastAsia="pt-BR"/>
        </w:rPr>
        <w:t xml:space="preserve">A History of the Hebrew Language</w:t>
      </w:r>
      <w:r>
        <w:rPr>
          <w:lang w:val="pt-BR" w:eastAsia="pt-BR"/>
        </w:rPr>
        <w:t xml:space="preserve">. Trad. John Elwolde. Cambridge: Cambridge University Press, 1993. ISBN 978-0-521-43157-6 (capa dura); 978-0-521-55634-7 (brochura).</w:t>
      </w:r>
      <w:r>
        <w:rPr>
          <w:lang w:val="pt-BR" w:eastAsia="pt-BR"/>
        </w:rPr>
        <w:t xml:space="preserve"> </w:t>
      </w:r>
      <w:hyperlink r:id="rId151">
        <w:r>
          <w:rPr>
            <w:rStyle w:val="Hyperlink"/>
            <w:color w:val="0D5B65"/>
          </w:rPr>
          <w:t xml:space="preserve">Página da editora</w:t>
        </w:r>
      </w:hyperlink>
      <w:r>
        <w:rPr>
          <w:lang w:val="pt-BR" w:eastAsia="pt-BR"/>
        </w:rPr>
        <w:t xml:space="preserve">.</w:t>
      </w:r>
    </w:p>
    <w:p>
      <w:pPr>
        <w:pStyle w:val="BodyText"/>
      </w:pPr>
      <w:r>
        <w:rPr>
          <w:lang w:val="pt-BR" w:eastAsia="pt-BR"/>
        </w:rPr>
        <w:t xml:space="preserve">Suchard, Benjamin D.</w:t>
      </w:r>
      <w:r>
        <w:rPr>
          <w:lang w:val="pt-BR" w:eastAsia="pt-BR"/>
        </w:rPr>
        <w:t xml:space="preserve"> </w:t>
      </w:r>
      <w:r>
        <w:rPr>
          <w:iCs/>
          <w:i/>
          <w:lang w:val="pt-BR" w:eastAsia="pt-BR"/>
        </w:rPr>
        <w:t xml:space="preserve">The Development of the Biblical Hebrew Vowels: Including a Concise Historical Morphology</w:t>
      </w:r>
      <w:r>
        <w:rPr>
          <w:lang w:val="pt-BR" w:eastAsia="pt-BR"/>
        </w:rPr>
        <w:t xml:space="preserve">. Leiden/Boston: Brill, 2019. ISBN 978-90-04-39025-6; e-book 978-90-04-39026-3.</w:t>
      </w:r>
      <w:r>
        <w:rPr>
          <w:lang w:val="pt-BR" w:eastAsia="pt-BR"/>
        </w:rPr>
        <w:t xml:space="preserve"> </w:t>
      </w:r>
      <w:hyperlink r:id="rId152">
        <w:r>
          <w:rPr>
            <w:rStyle w:val="Hyperlink"/>
            <w:color w:val="0D5B65"/>
          </w:rPr>
          <w:t xml:space="preserve">Página da editora</w:t>
        </w:r>
      </w:hyperlink>
      <w:r>
        <w:rPr>
          <w:lang w:val="pt-BR" w:eastAsia="pt-BR"/>
        </w:rPr>
        <w:t xml:space="preserve">.</w:t>
      </w:r>
    </w:p>
    <w:p>
      <w:pPr>
        <w:pStyle w:val="BodyText"/>
      </w:pPr>
      <w:r>
        <w:rPr>
          <w:lang w:val="pt-BR" w:eastAsia="pt-BR"/>
        </w:rPr>
        <w:t xml:space="preserve">Suchard, Benjamin D.</w:t>
      </w:r>
      <w:r>
        <w:rPr>
          <w:lang w:val="pt-BR" w:eastAsia="pt-BR"/>
        </w:rPr>
        <w:t xml:space="preserve"> </w:t>
      </w:r>
      <w:r>
        <w:rPr>
          <w:lang w:val="pt-BR" w:eastAsia="pt-BR"/>
        </w:rPr>
        <w:t xml:space="preserve">“</w:t>
      </w:r>
      <w:r>
        <w:rPr>
          <w:lang w:val="pt-BR" w:eastAsia="pt-BR"/>
        </w:rPr>
        <w:t xml:space="preserve">The Reconstruction of the Proto-Semitic Genitive Ending and a Suggestion on Its Origin.</w:t>
      </w:r>
      <w:r>
        <w:rPr>
          <w:lang w:val="pt-BR" w:eastAsia="pt-BR"/>
        </w:rPr>
        <w:t xml:space="preserve">”</w:t>
      </w:r>
      <w:r>
        <w:rPr>
          <w:lang w:val="pt-BR" w:eastAsia="pt-BR"/>
        </w:rPr>
        <w:t xml:space="preserve"> </w:t>
      </w:r>
      <w:r>
        <w:rPr>
          <w:iCs/>
          <w:i/>
          <w:lang w:val="pt-BR" w:eastAsia="pt-BR"/>
        </w:rPr>
        <w:t xml:space="preserve">Studia Orientalia Electronica</w:t>
      </w:r>
      <w:r>
        <w:rPr>
          <w:lang w:val="pt-BR" w:eastAsia="pt-BR"/>
        </w:rPr>
        <w:t xml:space="preserve"> </w:t>
      </w:r>
      <w:r>
        <w:rPr>
          <w:lang w:val="pt-BR" w:eastAsia="pt-BR"/>
        </w:rPr>
        <w:t xml:space="preserve">9.1 (2021): 66–82. DOI</w:t>
      </w:r>
      <w:r>
        <w:rPr>
          <w:lang w:val="pt-BR" w:eastAsia="pt-BR"/>
        </w:rPr>
        <w:t xml:space="preserve"> </w:t>
      </w:r>
      <w:hyperlink r:id="rId153">
        <w:r>
          <w:rPr>
            <w:rStyle w:val="Hyperlink"/>
            <w:color w:val="0D5B65"/>
          </w:rPr>
          <w:t xml:space="preserve">10.23993/store.98387</w:t>
        </w:r>
      </w:hyperlink>
      <w:r>
        <w:rPr>
          <w:lang w:val="pt-BR" w:eastAsia="pt-BR"/>
        </w:rPr>
        <w:t xml:space="preserve">.</w:t>
      </w:r>
    </w:p>
    <w:p>
      <w:pPr>
        <w:pStyle w:val="BodyText"/>
      </w:pPr>
      <w:r>
        <w:rPr>
          <w:lang w:val="pt-BR" w:eastAsia="pt-BR"/>
        </w:rPr>
        <w:t xml:space="preserve">Wilson-Wright, Aren M.</w:t>
      </w:r>
      <w:r>
        <w:rPr>
          <w:lang w:val="pt-BR" w:eastAsia="pt-BR"/>
        </w:rPr>
        <w:t xml:space="preserve"> </w:t>
      </w:r>
      <w:r>
        <w:rPr>
          <w:lang w:val="pt-BR" w:eastAsia="pt-BR"/>
        </w:rPr>
        <w:t xml:space="preserve">“</w:t>
      </w:r>
      <w:r>
        <w:rPr>
          <w:lang w:val="pt-BR" w:eastAsia="pt-BR"/>
        </w:rPr>
        <w:t xml:space="preserve">The Canaanite Languages.</w:t>
      </w:r>
      <w:r>
        <w:rPr>
          <w:lang w:val="pt-BR" w:eastAsia="pt-BR"/>
        </w:rPr>
        <w:t xml:space="preserve">”</w:t>
      </w:r>
      <w:r>
        <w:rPr>
          <w:lang w:val="pt-BR" w:eastAsia="pt-BR"/>
        </w:rPr>
        <w:t xml:space="preserve"> </w:t>
      </w:r>
      <w:r>
        <w:rPr>
          <w:lang w:val="pt-BR" w:eastAsia="pt-BR"/>
        </w:rPr>
        <w:t xml:space="preserve">In: Huehnergard, John; Pat-El, Naʿama (orgs.).</w:t>
      </w:r>
      <w:r>
        <w:rPr>
          <w:lang w:val="pt-BR" w:eastAsia="pt-BR"/>
        </w:rPr>
        <w:t xml:space="preserve"> </w:t>
      </w:r>
      <w:r>
        <w:rPr>
          <w:iCs/>
          <w:i/>
          <w:lang w:val="pt-BR" w:eastAsia="pt-BR"/>
        </w:rPr>
        <w:t xml:space="preserve">The Semitic Languages</w:t>
      </w:r>
      <w:r>
        <w:rPr>
          <w:lang w:val="pt-BR" w:eastAsia="pt-BR"/>
        </w:rPr>
        <w:t xml:space="preserve">. 2. ed. Londres/Nova York: Routledge, 2019, p. 509–532. DOI</w:t>
      </w:r>
      <w:r>
        <w:rPr>
          <w:lang w:val="pt-BR" w:eastAsia="pt-BR"/>
        </w:rPr>
        <w:t xml:space="preserve"> </w:t>
      </w:r>
      <w:hyperlink r:id="rId154">
        <w:r>
          <w:rPr>
            <w:rStyle w:val="Hyperlink"/>
            <w:color w:val="0D5B65"/>
          </w:rPr>
          <w:t xml:space="preserve">10.4324/9780429025563-20</w:t>
        </w:r>
      </w:hyperlink>
      <w:r>
        <w:rPr>
          <w:lang w:val="pt-BR" w:eastAsia="pt-BR"/>
        </w:rPr>
        <w:t xml:space="preserve">.</w:t>
      </w:r>
    </w:p>
    <w:bookmarkEnd w:id="155"/>
    <w:bookmarkStart w:id="163" w:name="X2c8f0c63c2767c9cd1e529762dfe9354ab305e1"/>
    <w:p>
      <w:pPr>
        <w:pStyle w:val="Heading2"/>
      </w:pPr>
      <w:r>
        <w:rPr>
          <w:lang w:val="pt-BR" w:eastAsia="pt-BR"/>
        </w:rPr>
        <w:t xml:space="preserve">Epigrafia, paleografia e línguas do Antigo Oriente Próximo</w:t>
      </w:r>
    </w:p>
    <w:p>
      <w:pPr>
        <w:pStyle w:val="FirstParagraph"/>
      </w:pPr>
      <w:r>
        <w:rPr>
          <w:lang w:val="pt-BR" w:eastAsia="pt-BR"/>
        </w:rPr>
        <w:t xml:space="preserve">Ahituv, Shmuel.</w:t>
      </w:r>
      <w:r>
        <w:rPr>
          <w:lang w:val="pt-BR" w:eastAsia="pt-BR"/>
        </w:rPr>
        <w:t xml:space="preserve"> </w:t>
      </w:r>
      <w:r>
        <w:rPr>
          <w:iCs/>
          <w:i/>
          <w:lang w:val="pt-BR" w:eastAsia="pt-BR"/>
        </w:rPr>
        <w:t xml:space="preserve">Echoes from the Past: Hebrew and Cognate Inscriptions from the Biblical Period</w:t>
      </w:r>
      <w:r>
        <w:rPr>
          <w:lang w:val="pt-BR" w:eastAsia="pt-BR"/>
        </w:rPr>
        <w:t xml:space="preserve">. Trad./ed. Anson F. Rainey. Jerusalém: Carta, 2008. xiv + 512 p. ISBN 978-965-220-708-1.</w:t>
      </w:r>
    </w:p>
    <w:p>
      <w:pPr>
        <w:pStyle w:val="BodyText"/>
      </w:pPr>
      <w:r>
        <w:rPr>
          <w:lang w:val="pt-BR" w:eastAsia="pt-BR"/>
        </w:rPr>
        <w:t xml:space="preserve">Allen, James P.</w:t>
      </w:r>
      <w:r>
        <w:rPr>
          <w:lang w:val="pt-BR" w:eastAsia="pt-BR"/>
        </w:rPr>
        <w:t xml:space="preserve"> </w:t>
      </w:r>
      <w:r>
        <w:rPr>
          <w:iCs/>
          <w:i/>
          <w:lang w:val="pt-BR" w:eastAsia="pt-BR"/>
        </w:rPr>
        <w:t xml:space="preserve">The Ancient Egyptian Language: An Historical Study</w:t>
      </w:r>
      <w:r>
        <w:rPr>
          <w:lang w:val="pt-BR" w:eastAsia="pt-BR"/>
        </w:rPr>
        <w:t xml:space="preserve">. Cambridge: Cambridge University Press, 2013. ISBN 978-1-107-03246-0; brochura 978-1-107-66467-8.</w:t>
      </w:r>
      <w:r>
        <w:rPr>
          <w:lang w:val="pt-BR" w:eastAsia="pt-BR"/>
        </w:rPr>
        <w:t xml:space="preserve"> </w:t>
      </w:r>
      <w:hyperlink r:id="rId156">
        <w:r>
          <w:rPr>
            <w:rStyle w:val="Hyperlink"/>
            <w:color w:val="0D5B65"/>
          </w:rPr>
          <w:t xml:space="preserve">Página da editora</w:t>
        </w:r>
      </w:hyperlink>
      <w:r>
        <w:rPr>
          <w:lang w:val="pt-BR" w:eastAsia="pt-BR"/>
        </w:rPr>
        <w:t xml:space="preserve">.</w:t>
      </w:r>
    </w:p>
    <w:p>
      <w:pPr>
        <w:pStyle w:val="BodyText"/>
      </w:pPr>
      <w:r>
        <w:rPr>
          <w:lang w:val="pt-BR" w:eastAsia="pt-BR"/>
        </w:rPr>
        <w:t xml:space="preserve">Finkelstein, Israel; Sass, Benjamin.</w:t>
      </w:r>
      <w:r>
        <w:rPr>
          <w:lang w:val="pt-BR" w:eastAsia="pt-BR"/>
        </w:rPr>
        <w:t xml:space="preserve"> </w:t>
      </w:r>
      <w:r>
        <w:rPr>
          <w:lang w:val="pt-BR" w:eastAsia="pt-BR"/>
        </w:rPr>
        <w:t xml:space="preserve">“</w:t>
      </w:r>
      <w:r>
        <w:rPr>
          <w:lang w:val="pt-BR" w:eastAsia="pt-BR"/>
        </w:rPr>
        <w:t xml:space="preserve">The West Semitic Alphabetic Inscriptions, Late Bronze II to Iron IIA: Archaeological Context, Distribution and Chronology.</w:t>
      </w:r>
      <w:r>
        <w:rPr>
          <w:lang w:val="pt-BR" w:eastAsia="pt-BR"/>
        </w:rPr>
        <w:t xml:space="preserve">”</w:t>
      </w:r>
      <w:r>
        <w:rPr>
          <w:lang w:val="pt-BR" w:eastAsia="pt-BR"/>
        </w:rPr>
        <w:t xml:space="preserve"> </w:t>
      </w:r>
      <w:r>
        <w:rPr>
          <w:iCs/>
          <w:i/>
          <w:lang w:val="pt-BR" w:eastAsia="pt-BR"/>
        </w:rPr>
        <w:t xml:space="preserve">Hebrew Bible and Ancient Israel</w:t>
      </w:r>
      <w:r>
        <w:rPr>
          <w:lang w:val="pt-BR" w:eastAsia="pt-BR"/>
        </w:rPr>
        <w:t xml:space="preserve"> </w:t>
      </w:r>
      <w:r>
        <w:rPr>
          <w:lang w:val="pt-BR" w:eastAsia="pt-BR"/>
        </w:rPr>
        <w:t xml:space="preserve">2 (2013): 149–220. DOI</w:t>
      </w:r>
      <w:r>
        <w:rPr>
          <w:lang w:val="pt-BR" w:eastAsia="pt-BR"/>
        </w:rPr>
        <w:t xml:space="preserve"> </w:t>
      </w:r>
      <w:hyperlink r:id="rId157">
        <w:r>
          <w:rPr>
            <w:rStyle w:val="Hyperlink"/>
            <w:color w:val="0D5B65"/>
          </w:rPr>
          <w:t xml:space="preserve">10.1628/219222713X13757034787838</w:t>
        </w:r>
      </w:hyperlink>
      <w:r>
        <w:rPr>
          <w:lang w:val="pt-BR" w:eastAsia="pt-BR"/>
        </w:rPr>
        <w:t xml:space="preserve">.</w:t>
      </w:r>
    </w:p>
    <w:p>
      <w:pPr>
        <w:pStyle w:val="BodyText"/>
      </w:pPr>
      <w:r>
        <w:rPr>
          <w:lang w:val="pt-BR" w:eastAsia="pt-BR"/>
        </w:rPr>
        <w:t xml:space="preserve">Hasselbach-Andee, Rebecca.</w:t>
      </w:r>
      <w:r>
        <w:rPr>
          <w:lang w:val="pt-BR" w:eastAsia="pt-BR"/>
        </w:rPr>
        <w:t xml:space="preserve"> </w:t>
      </w:r>
      <w:r>
        <w:rPr>
          <w:lang w:val="pt-BR" w:eastAsia="pt-BR"/>
        </w:rPr>
        <w:t xml:space="preserve">“</w:t>
      </w:r>
      <w:r>
        <w:rPr>
          <w:lang w:val="pt-BR" w:eastAsia="pt-BR"/>
        </w:rPr>
        <w:t xml:space="preserve">Akkadian.</w:t>
      </w:r>
      <w:r>
        <w:rPr>
          <w:lang w:val="pt-BR" w:eastAsia="pt-BR"/>
        </w:rPr>
        <w:t xml:space="preserve">”</w:t>
      </w:r>
      <w:r>
        <w:rPr>
          <w:lang w:val="pt-BR" w:eastAsia="pt-BR"/>
        </w:rPr>
        <w:t xml:space="preserve"> </w:t>
      </w:r>
      <w:r>
        <w:rPr>
          <w:lang w:val="pt-BR" w:eastAsia="pt-BR"/>
        </w:rPr>
        <w:t xml:space="preserve">In: Huehnergard, John; Pat-El, Naʿama (orgs.).</w:t>
      </w:r>
      <w:r>
        <w:rPr>
          <w:lang w:val="pt-BR" w:eastAsia="pt-BR"/>
        </w:rPr>
        <w:t xml:space="preserve"> </w:t>
      </w:r>
      <w:r>
        <w:rPr>
          <w:iCs/>
          <w:i/>
          <w:lang w:val="pt-BR" w:eastAsia="pt-BR"/>
        </w:rPr>
        <w:t xml:space="preserve">The Semitic Languages</w:t>
      </w:r>
      <w:r>
        <w:rPr>
          <w:lang w:val="pt-BR" w:eastAsia="pt-BR"/>
        </w:rPr>
        <w:t xml:space="preserve">. 2. ed. Londres/Nova York: Routledge, 2019, p. 95–116. DOI do livro</w:t>
      </w:r>
      <w:r>
        <w:rPr>
          <w:lang w:val="pt-BR" w:eastAsia="pt-BR"/>
        </w:rPr>
        <w:t xml:space="preserve"> </w:t>
      </w:r>
      <w:hyperlink r:id="rId143">
        <w:r>
          <w:rPr>
            <w:rStyle w:val="Hyperlink"/>
            <w:color w:val="0D5B65"/>
          </w:rPr>
          <w:t xml:space="preserve">10.4324/9780429025563</w:t>
        </w:r>
      </w:hyperlink>
      <w:r>
        <w:rPr>
          <w:lang w:val="pt-BR" w:eastAsia="pt-BR"/>
        </w:rPr>
        <w:t xml:space="preserve">.</w:t>
      </w:r>
    </w:p>
    <w:p>
      <w:pPr>
        <w:pStyle w:val="BodyText"/>
      </w:pPr>
      <w:r>
        <w:rPr>
          <w:lang w:val="pt-BR" w:eastAsia="pt-BR"/>
        </w:rPr>
        <w:t xml:space="preserve">Rollston, Christopher A.</w:t>
      </w:r>
      <w:r>
        <w:rPr>
          <w:lang w:val="pt-BR" w:eastAsia="pt-BR"/>
        </w:rPr>
        <w:t xml:space="preserve"> </w:t>
      </w:r>
      <w:r>
        <w:rPr>
          <w:iCs/>
          <w:i/>
          <w:lang w:val="pt-BR" w:eastAsia="pt-BR"/>
        </w:rPr>
        <w:t xml:space="preserve">Writing and Literacy in the World of Ancient Israel: Epigraphic Evidence from the Iron Age</w:t>
      </w:r>
      <w:r>
        <w:rPr>
          <w:lang w:val="pt-BR" w:eastAsia="pt-BR"/>
        </w:rPr>
        <w:t xml:space="preserve">. Archaeology and Biblical Studies 11. Atlanta: Society of Biblical Literature, 2010. xix + 171 p. ISBN 978-1-58983-107-0.</w:t>
      </w:r>
    </w:p>
    <w:p>
      <w:pPr>
        <w:pStyle w:val="BodyText"/>
      </w:pPr>
      <w:r>
        <w:rPr>
          <w:lang w:val="pt-BR" w:eastAsia="pt-BR"/>
        </w:rPr>
        <w:t xml:space="preserve">Sass, Benjamin; Finkelstein, Israel.</w:t>
      </w:r>
      <w:r>
        <w:rPr>
          <w:lang w:val="pt-BR" w:eastAsia="pt-BR"/>
        </w:rPr>
        <w:t xml:space="preserve"> </w:t>
      </w:r>
      <w:r>
        <w:rPr>
          <w:lang w:val="pt-BR" w:eastAsia="pt-BR"/>
        </w:rPr>
        <w:t xml:space="preserve">“</w:t>
      </w:r>
      <w:r>
        <w:rPr>
          <w:lang w:val="pt-BR" w:eastAsia="pt-BR"/>
        </w:rPr>
        <w:t xml:space="preserve">The West Semitic Alphabet in the Early Iron Age: A New Hypothesis.</w:t>
      </w:r>
      <w:r>
        <w:rPr>
          <w:lang w:val="pt-BR" w:eastAsia="pt-BR"/>
        </w:rPr>
        <w:t xml:space="preserve">”</w:t>
      </w:r>
      <w:r>
        <w:rPr>
          <w:lang w:val="pt-BR" w:eastAsia="pt-BR"/>
        </w:rPr>
        <w:t xml:space="preserve"> </w:t>
      </w:r>
      <w:r>
        <w:rPr>
          <w:iCs/>
          <w:i/>
          <w:lang w:val="pt-BR" w:eastAsia="pt-BR"/>
        </w:rPr>
        <w:t xml:space="preserve">Near Eastern Archaeology</w:t>
      </w:r>
      <w:r>
        <w:rPr>
          <w:lang w:val="pt-BR" w:eastAsia="pt-BR"/>
        </w:rPr>
        <w:t xml:space="preserve"> </w:t>
      </w:r>
      <w:r>
        <w:rPr>
          <w:lang w:val="pt-BR" w:eastAsia="pt-BR"/>
        </w:rPr>
        <w:t xml:space="preserve">86.1 (2023): 28–45. DOI</w:t>
      </w:r>
      <w:r>
        <w:rPr>
          <w:lang w:val="pt-BR" w:eastAsia="pt-BR"/>
        </w:rPr>
        <w:t xml:space="preserve"> </w:t>
      </w:r>
      <w:hyperlink r:id="rId158">
        <w:r>
          <w:rPr>
            <w:rStyle w:val="Hyperlink"/>
            <w:color w:val="0D5B65"/>
          </w:rPr>
          <w:t xml:space="preserve">10.1086/723458</w:t>
        </w:r>
      </w:hyperlink>
      <w:r>
        <w:rPr>
          <w:lang w:val="pt-BR" w:eastAsia="pt-BR"/>
        </w:rPr>
        <w:t xml:space="preserve">.</w:t>
      </w:r>
    </w:p>
    <w:p>
      <w:pPr>
        <w:pStyle w:val="BodyText"/>
      </w:pPr>
      <w:r>
        <w:rPr>
          <w:lang w:val="pt-BR" w:eastAsia="pt-BR"/>
        </w:rPr>
        <w:t xml:space="preserve">Wilson-Wright, Aren M.</w:t>
      </w:r>
      <w:r>
        <w:rPr>
          <w:lang w:val="pt-BR" w:eastAsia="pt-BR"/>
        </w:rPr>
        <w:t xml:space="preserve"> </w:t>
      </w:r>
      <w:r>
        <w:rPr>
          <w:lang w:val="pt-BR" w:eastAsia="pt-BR"/>
        </w:rPr>
        <w:t xml:space="preserve">“</w:t>
      </w:r>
      <w:r>
        <w:rPr>
          <w:lang w:val="pt-BR" w:eastAsia="pt-BR"/>
        </w:rPr>
        <w:t xml:space="preserve">Facts Matter: Language of the Earliest Alphabetic Inscriptions.</w:t>
      </w:r>
      <w:r>
        <w:rPr>
          <w:lang w:val="pt-BR" w:eastAsia="pt-BR"/>
        </w:rPr>
        <w:t xml:space="preserve">”</w:t>
      </w:r>
      <w:r>
        <w:rPr>
          <w:lang w:val="pt-BR" w:eastAsia="pt-BR"/>
        </w:rPr>
        <w:t xml:space="preserve"> </w:t>
      </w:r>
      <w:r>
        <w:rPr>
          <w:iCs/>
          <w:i/>
          <w:lang w:val="pt-BR" w:eastAsia="pt-BR"/>
        </w:rPr>
        <w:t xml:space="preserve">Journal of the American Oriental Society</w:t>
      </w:r>
      <w:r>
        <w:rPr>
          <w:lang w:val="pt-BR" w:eastAsia="pt-BR"/>
        </w:rPr>
        <w:t xml:space="preserve"> </w:t>
      </w:r>
      <w:r>
        <w:rPr>
          <w:lang w:val="pt-BR" w:eastAsia="pt-BR"/>
        </w:rPr>
        <w:t xml:space="preserve">140 (2020): 705–714.</w:t>
      </w:r>
      <w:r>
        <w:rPr>
          <w:lang w:val="pt-BR" w:eastAsia="pt-BR"/>
        </w:rPr>
        <w:t xml:space="preserve"> </w:t>
      </w:r>
      <w:hyperlink r:id="rId159">
        <w:r>
          <w:rPr>
            <w:rStyle w:val="Hyperlink"/>
            <w:color w:val="0D5B65"/>
          </w:rPr>
          <w:t xml:space="preserve">Página do periódico</w:t>
        </w:r>
      </w:hyperlink>
      <w:r>
        <w:rPr>
          <w:lang w:val="pt-BR" w:eastAsia="pt-BR"/>
        </w:rPr>
        <w:t xml:space="preserve">.</w:t>
      </w:r>
    </w:p>
    <w:p>
      <w:pPr>
        <w:pStyle w:val="BodyText"/>
      </w:pPr>
      <w:r>
        <w:rPr>
          <w:lang w:val="pt-BR" w:eastAsia="pt-BR"/>
        </w:rPr>
        <w:t xml:space="preserve">Woodard, Roger D. (org.).</w:t>
      </w:r>
      <w:r>
        <w:rPr>
          <w:lang w:val="pt-BR" w:eastAsia="pt-BR"/>
        </w:rPr>
        <w:t xml:space="preserve"> </w:t>
      </w:r>
      <w:r>
        <w:rPr>
          <w:iCs/>
          <w:i/>
          <w:lang w:val="pt-BR" w:eastAsia="pt-BR"/>
        </w:rPr>
        <w:t xml:space="preserve">The Ancient Languages of Syria-Palestine and Arabia</w:t>
      </w:r>
      <w:r>
        <w:rPr>
          <w:lang w:val="pt-BR" w:eastAsia="pt-BR"/>
        </w:rPr>
        <w:t xml:space="preserve">. Cambridge: Cambridge University Press, 2008. 284 p. ISBN 978-0-521-68498-9; e-book 978-0-511-48689-0. DOI</w:t>
      </w:r>
      <w:r>
        <w:rPr>
          <w:lang w:val="pt-BR" w:eastAsia="pt-BR"/>
        </w:rPr>
        <w:t xml:space="preserve"> </w:t>
      </w:r>
      <w:hyperlink r:id="rId160">
        <w:r>
          <w:rPr>
            <w:rStyle w:val="Hyperlink"/>
            <w:color w:val="0D5B65"/>
          </w:rPr>
          <w:t xml:space="preserve">10.1017/CBO9780511486890</w:t>
        </w:r>
      </w:hyperlink>
      <w:r>
        <w:rPr>
          <w:lang w:val="pt-BR" w:eastAsia="pt-BR"/>
        </w:rPr>
        <w:t xml:space="preserve">.</w:t>
      </w:r>
    </w:p>
    <w:p>
      <w:pPr>
        <w:pStyle w:val="BodyText"/>
      </w:pPr>
      <w:r>
        <w:rPr>
          <w:lang w:val="pt-BR" w:eastAsia="pt-BR"/>
        </w:rPr>
        <w:t xml:space="preserve">Woods, Christopher (org.).</w:t>
      </w:r>
      <w:r>
        <w:rPr>
          <w:lang w:val="pt-BR" w:eastAsia="pt-BR"/>
        </w:rPr>
        <w:t xml:space="preserve"> </w:t>
      </w:r>
      <w:r>
        <w:rPr>
          <w:iCs/>
          <w:i/>
          <w:lang w:val="pt-BR" w:eastAsia="pt-BR"/>
        </w:rPr>
        <w:t xml:space="preserve">Visible Language: Inventions of Writing in the Ancient Middle East and Beyond</w:t>
      </w:r>
      <w:r>
        <w:rPr>
          <w:lang w:val="pt-BR" w:eastAsia="pt-BR"/>
        </w:rPr>
        <w:t xml:space="preserve">. Oriental Institute Museum Publications 32. Chicago: Oriental Institute of the University of Chicago, 2010.</w:t>
      </w:r>
      <w:r>
        <w:rPr>
          <w:lang w:val="pt-BR" w:eastAsia="pt-BR"/>
        </w:rPr>
        <w:t xml:space="preserve"> </w:t>
      </w:r>
      <w:hyperlink r:id="rId161">
        <w:r>
          <w:rPr>
            <w:rStyle w:val="Hyperlink"/>
            <w:color w:val="0D5B65"/>
          </w:rPr>
          <w:t xml:space="preserve">Volume institucional</w:t>
        </w:r>
      </w:hyperlink>
      <w:r>
        <w:rPr>
          <w:lang w:val="pt-BR" w:eastAsia="pt-BR"/>
        </w:rPr>
        <w:t xml:space="preserve">.</w:t>
      </w:r>
    </w:p>
    <w:p>
      <w:pPr>
        <w:pStyle w:val="BodyText"/>
      </w:pPr>
      <w:r>
        <w:rPr>
          <w:lang w:val="pt-BR" w:eastAsia="pt-BR"/>
        </w:rPr>
        <w:t xml:space="preserve">Wright, Jacob L.</w:t>
      </w:r>
      <w:r>
        <w:rPr>
          <w:lang w:val="pt-BR" w:eastAsia="pt-BR"/>
        </w:rPr>
        <w:t xml:space="preserve"> </w:t>
      </w:r>
      <w:r>
        <w:rPr>
          <w:iCs/>
          <w:i/>
          <w:lang w:val="pt-BR" w:eastAsia="pt-BR"/>
        </w:rPr>
        <w:t xml:space="preserve">Why the Bible Began: An Alternative History of Scripture and Its Origins</w:t>
      </w:r>
      <w:r>
        <w:rPr>
          <w:lang w:val="pt-BR" w:eastAsia="pt-BR"/>
        </w:rPr>
        <w:t xml:space="preserve">. Cambridge: Cambridge University Press, 2023. ISBN 978-1-108-49093-1; e-book 978-1-108-85924-0. DOI</w:t>
      </w:r>
      <w:r>
        <w:rPr>
          <w:lang w:val="pt-BR" w:eastAsia="pt-BR"/>
        </w:rPr>
        <w:t xml:space="preserve"> </w:t>
      </w:r>
      <w:hyperlink r:id="rId162">
        <w:r>
          <w:rPr>
            <w:rStyle w:val="Hyperlink"/>
            <w:color w:val="0D5B65"/>
          </w:rPr>
          <w:t xml:space="preserve">10.1017/9781108859240</w:t>
        </w:r>
      </w:hyperlink>
      <w:r>
        <w:rPr>
          <w:lang w:val="pt-BR" w:eastAsia="pt-BR"/>
        </w:rPr>
        <w:t xml:space="preserve">.</w:t>
      </w:r>
    </w:p>
    <w:bookmarkEnd w:id="163"/>
    <w:bookmarkStart w:id="174" w:name="X95a3494b1f01bfa335bd28c8e6fedd44871dd51"/>
    <w:p>
      <w:pPr>
        <w:pStyle w:val="Heading2"/>
      </w:pPr>
      <w:r>
        <w:rPr>
          <w:lang w:val="pt-BR" w:eastAsia="pt-BR"/>
        </w:rPr>
        <w:t xml:space="preserve">Gênesis, língua adâmica e história intelectual</w:t>
      </w:r>
    </w:p>
    <w:p>
      <w:pPr>
        <w:pStyle w:val="FirstParagraph"/>
      </w:pPr>
      <w:r>
        <w:rPr>
          <w:lang w:val="pt-BR" w:eastAsia="pt-BR"/>
        </w:rPr>
        <w:t xml:space="preserve">Agostinho de Hipona.</w:t>
      </w:r>
      <w:r>
        <w:rPr>
          <w:lang w:val="pt-BR" w:eastAsia="pt-BR"/>
        </w:rPr>
        <w:t xml:space="preserve"> </w:t>
      </w:r>
      <w:r>
        <w:rPr>
          <w:iCs/>
          <w:i/>
          <w:lang w:val="pt-BR" w:eastAsia="pt-BR"/>
        </w:rPr>
        <w:t xml:space="preserve">The City of God</w:t>
      </w:r>
      <w:r>
        <w:rPr>
          <w:lang w:val="pt-BR" w:eastAsia="pt-BR"/>
        </w:rPr>
        <w:t xml:space="preserve">, livro XVI, cap. 11. Fonte primária; tradução inglesa de Marcus Dods.</w:t>
      </w:r>
      <w:r>
        <w:rPr>
          <w:lang w:val="pt-BR" w:eastAsia="pt-BR"/>
        </w:rPr>
        <w:t xml:space="preserve"> </w:t>
      </w:r>
      <w:hyperlink r:id="rId164">
        <w:r>
          <w:rPr>
            <w:rStyle w:val="Hyperlink"/>
            <w:color w:val="0D5B65"/>
          </w:rPr>
          <w:t xml:space="preserve">Project Gutenberg</w:t>
        </w:r>
      </w:hyperlink>
      <w:r>
        <w:rPr>
          <w:lang w:val="pt-BR" w:eastAsia="pt-BR"/>
        </w:rPr>
        <w:t xml:space="preserve">.</w:t>
      </w:r>
    </w:p>
    <w:p>
      <w:pPr>
        <w:pStyle w:val="BodyText"/>
      </w:pPr>
      <w:r>
        <w:rPr>
          <w:lang w:val="pt-BR" w:eastAsia="pt-BR"/>
        </w:rPr>
        <w:t xml:space="preserve">Carr, David M.</w:t>
      </w:r>
      <w:r>
        <w:rPr>
          <w:lang w:val="pt-BR" w:eastAsia="pt-BR"/>
        </w:rPr>
        <w:t xml:space="preserve"> </w:t>
      </w:r>
      <w:r>
        <w:rPr>
          <w:iCs/>
          <w:i/>
          <w:lang w:val="pt-BR" w:eastAsia="pt-BR"/>
        </w:rPr>
        <w:t xml:space="preserve">The Formation of Genesis 1–11: Biblical and Other Precursors</w:t>
      </w:r>
      <w:r>
        <w:rPr>
          <w:lang w:val="pt-BR" w:eastAsia="pt-BR"/>
        </w:rPr>
        <w:t xml:space="preserve">. Nova York: Oxford University Press, 2020. ISBN 978-0-19-006254-5. DOI</w:t>
      </w:r>
      <w:r>
        <w:rPr>
          <w:lang w:val="pt-BR" w:eastAsia="pt-BR"/>
        </w:rPr>
        <w:t xml:space="preserve"> </w:t>
      </w:r>
      <w:hyperlink r:id="rId165">
        <w:r>
          <w:rPr>
            <w:rStyle w:val="Hyperlink"/>
            <w:color w:val="0D5B65"/>
          </w:rPr>
          <w:t xml:space="preserve">10.1093/oso/9780190062545.001.0001</w:t>
        </w:r>
      </w:hyperlink>
      <w:r>
        <w:rPr>
          <w:lang w:val="pt-BR" w:eastAsia="pt-BR"/>
        </w:rPr>
        <w:t xml:space="preserve">.</w:t>
      </w:r>
    </w:p>
    <w:p>
      <w:pPr>
        <w:pStyle w:val="BodyText"/>
      </w:pPr>
      <w:r>
        <w:rPr>
          <w:lang w:val="pt-BR" w:eastAsia="pt-BR"/>
        </w:rPr>
        <w:t xml:space="preserve">Eco, Umberto.</w:t>
      </w:r>
      <w:r>
        <w:rPr>
          <w:lang w:val="pt-BR" w:eastAsia="pt-BR"/>
        </w:rPr>
        <w:t xml:space="preserve"> </w:t>
      </w:r>
      <w:r>
        <w:rPr>
          <w:iCs/>
          <w:i/>
          <w:lang w:val="pt-BR" w:eastAsia="pt-BR"/>
        </w:rPr>
        <w:t xml:space="preserve">The Search for the Perfect Language</w:t>
      </w:r>
      <w:r>
        <w:rPr>
          <w:lang w:val="pt-BR" w:eastAsia="pt-BR"/>
        </w:rPr>
        <w:t xml:space="preserve">. Trad. James Fentress. Oxford: Blackwell, 1995. ISBN 978-0-631-20510-4.</w:t>
      </w:r>
    </w:p>
    <w:p>
      <w:pPr>
        <w:pStyle w:val="BodyText"/>
      </w:pPr>
      <w:r>
        <w:rPr>
          <w:lang w:val="pt-BR" w:eastAsia="pt-BR"/>
        </w:rPr>
        <w:t xml:space="preserve">Eskhult, Josef.</w:t>
      </w:r>
      <w:r>
        <w:rPr>
          <w:lang w:val="pt-BR" w:eastAsia="pt-BR"/>
        </w:rPr>
        <w:t xml:space="preserve"> </w:t>
      </w:r>
      <w:r>
        <w:rPr>
          <w:lang w:val="pt-BR" w:eastAsia="pt-BR"/>
        </w:rPr>
        <w:t xml:space="preserve">“</w:t>
      </w:r>
      <w:r>
        <w:rPr>
          <w:lang w:val="pt-BR" w:eastAsia="pt-BR"/>
        </w:rPr>
        <w:t xml:space="preserve">Augustine and the Primeval Language in Early Modern Exegesis and Philology.</w:t>
      </w:r>
      <w:r>
        <w:rPr>
          <w:lang w:val="pt-BR" w:eastAsia="pt-BR"/>
        </w:rPr>
        <w:t xml:space="preserve">”</w:t>
      </w:r>
      <w:r>
        <w:rPr>
          <w:lang w:val="pt-BR" w:eastAsia="pt-BR"/>
        </w:rPr>
        <w:t xml:space="preserve"> </w:t>
      </w:r>
      <w:r>
        <w:rPr>
          <w:iCs/>
          <w:i/>
          <w:lang w:val="pt-BR" w:eastAsia="pt-BR"/>
        </w:rPr>
        <w:t xml:space="preserve">Language &amp; History</w:t>
      </w:r>
      <w:r>
        <w:rPr>
          <w:lang w:val="pt-BR" w:eastAsia="pt-BR"/>
        </w:rPr>
        <w:t xml:space="preserve"> </w:t>
      </w:r>
      <w:r>
        <w:rPr>
          <w:lang w:val="pt-BR" w:eastAsia="pt-BR"/>
        </w:rPr>
        <w:t xml:space="preserve">56.2 (2013): 98–119. DOI</w:t>
      </w:r>
      <w:r>
        <w:rPr>
          <w:lang w:val="pt-BR" w:eastAsia="pt-BR"/>
        </w:rPr>
        <w:t xml:space="preserve"> </w:t>
      </w:r>
      <w:hyperlink r:id="rId166">
        <w:r>
          <w:rPr>
            <w:rStyle w:val="Hyperlink"/>
            <w:color w:val="0D5B65"/>
          </w:rPr>
          <w:t xml:space="preserve">10.1179/1759753613Z.00000000021</w:t>
        </w:r>
      </w:hyperlink>
      <w:r>
        <w:rPr>
          <w:lang w:val="pt-BR" w:eastAsia="pt-BR"/>
        </w:rPr>
        <w:t xml:space="preserve">.</w:t>
      </w:r>
    </w:p>
    <w:p>
      <w:pPr>
        <w:pStyle w:val="BodyText"/>
      </w:pPr>
      <w:r>
        <w:rPr>
          <w:lang w:val="pt-BR" w:eastAsia="pt-BR"/>
        </w:rPr>
        <w:t xml:space="preserve">Eskhult, Josef.</w:t>
      </w:r>
      <w:r>
        <w:rPr>
          <w:lang w:val="pt-BR" w:eastAsia="pt-BR"/>
        </w:rPr>
        <w:t xml:space="preserve"> </w:t>
      </w:r>
      <w:r>
        <w:rPr>
          <w:lang w:val="pt-BR" w:eastAsia="pt-BR"/>
        </w:rPr>
        <w:t xml:space="preserve">“</w:t>
      </w:r>
      <w:r>
        <w:rPr>
          <w:lang w:val="pt-BR" w:eastAsia="pt-BR"/>
        </w:rPr>
        <w:t xml:space="preserve">The Primeval Language and Hebrew Ethnicity in Ancient Jewish and Christian Thought until Augustine.</w:t>
      </w:r>
      <w:r>
        <w:rPr>
          <w:lang w:val="pt-BR" w:eastAsia="pt-BR"/>
        </w:rPr>
        <w:t xml:space="preserve">”</w:t>
      </w:r>
      <w:r>
        <w:rPr>
          <w:lang w:val="pt-BR" w:eastAsia="pt-BR"/>
        </w:rPr>
        <w:t xml:space="preserve"> </w:t>
      </w:r>
      <w:r>
        <w:rPr>
          <w:iCs/>
          <w:i/>
          <w:lang w:val="pt-BR" w:eastAsia="pt-BR"/>
        </w:rPr>
        <w:t xml:space="preserve">Revue d’Études Augustiniennes et Patristiques</w:t>
      </w:r>
      <w:r>
        <w:rPr>
          <w:lang w:val="pt-BR" w:eastAsia="pt-BR"/>
        </w:rPr>
        <w:t xml:space="preserve"> </w:t>
      </w:r>
      <w:r>
        <w:rPr>
          <w:lang w:val="pt-BR" w:eastAsia="pt-BR"/>
        </w:rPr>
        <w:t xml:space="preserve">60.2 (2014): 291–347.</w:t>
      </w:r>
      <w:r>
        <w:rPr>
          <w:lang w:val="pt-BR" w:eastAsia="pt-BR"/>
        </w:rPr>
        <w:t xml:space="preserve"> </w:t>
      </w:r>
      <w:hyperlink r:id="rId167">
        <w:r>
          <w:rPr>
            <w:rStyle w:val="Hyperlink"/>
            <w:color w:val="0D5B65"/>
          </w:rPr>
          <w:t xml:space="preserve">Registro institucional</w:t>
        </w:r>
      </w:hyperlink>
      <w:r>
        <w:rPr>
          <w:lang w:val="pt-BR" w:eastAsia="pt-BR"/>
        </w:rPr>
        <w:t xml:space="preserve">.</w:t>
      </w:r>
    </w:p>
    <w:p>
      <w:pPr>
        <w:pStyle w:val="BodyText"/>
      </w:pPr>
      <w:r>
        <w:rPr>
          <w:lang w:val="pt-BR" w:eastAsia="pt-BR"/>
        </w:rPr>
        <w:t xml:space="preserve">Fraade, Steven D.</w:t>
      </w:r>
      <w:r>
        <w:rPr>
          <w:lang w:val="pt-BR" w:eastAsia="pt-BR"/>
        </w:rPr>
        <w:t xml:space="preserve"> </w:t>
      </w:r>
      <w:r>
        <w:rPr>
          <w:lang w:val="pt-BR" w:eastAsia="pt-BR"/>
        </w:rPr>
        <w:t xml:space="preserve">“</w:t>
      </w:r>
      <w:r>
        <w:rPr>
          <w:lang w:val="pt-BR" w:eastAsia="pt-BR"/>
        </w:rPr>
        <w:t xml:space="preserve">Before and After Babel: Linguistic Exceptionalism and Pluralism in Early Rabbinic Literature and Jewish Antiquity.</w:t>
      </w:r>
      <w:r>
        <w:rPr>
          <w:lang w:val="pt-BR" w:eastAsia="pt-BR"/>
        </w:rPr>
        <w:t xml:space="preserve">”</w:t>
      </w:r>
      <w:r>
        <w:rPr>
          <w:lang w:val="pt-BR" w:eastAsia="pt-BR"/>
        </w:rPr>
        <w:t xml:space="preserve"> </w:t>
      </w:r>
      <w:r>
        <w:rPr>
          <w:iCs/>
          <w:i/>
          <w:lang w:val="pt-BR" w:eastAsia="pt-BR"/>
        </w:rPr>
        <w:t xml:space="preserve">Diné Israel</w:t>
      </w:r>
      <w:r>
        <w:rPr>
          <w:lang w:val="pt-BR" w:eastAsia="pt-BR"/>
        </w:rPr>
        <w:t xml:space="preserve"> </w:t>
      </w:r>
      <w:r>
        <w:rPr>
          <w:lang w:val="pt-BR" w:eastAsia="pt-BR"/>
        </w:rPr>
        <w:t xml:space="preserve">28 (2011): 31</w:t>
      </w:r>
      <w:r>
        <w:rPr>
          <w:iCs/>
          <w:i/>
          <w:lang w:val="pt-BR" w:eastAsia="pt-BR"/>
        </w:rPr>
        <w:t xml:space="preserve">–68</w:t>
      </w:r>
      <w:r>
        <w:rPr>
          <w:lang w:val="pt-BR" w:eastAsia="pt-BR"/>
        </w:rPr>
        <w:t xml:space="preserve">.</w:t>
      </w:r>
      <w:r>
        <w:rPr>
          <w:lang w:val="pt-BR" w:eastAsia="pt-BR"/>
        </w:rPr>
        <w:t xml:space="preserve"> </w:t>
      </w:r>
      <w:hyperlink r:id="rId168">
        <w:r>
          <w:rPr>
            <w:rStyle w:val="Hyperlink"/>
            <w:color w:val="0D5B65"/>
          </w:rPr>
          <w:t xml:space="preserve">Texto institucional</w:t>
        </w:r>
      </w:hyperlink>
      <w:r>
        <w:rPr>
          <w:lang w:val="pt-BR" w:eastAsia="pt-BR"/>
        </w:rPr>
        <w:t xml:space="preserve">.</w:t>
      </w:r>
    </w:p>
    <w:p>
      <w:pPr>
        <w:pStyle w:val="BodyText"/>
      </w:pPr>
      <w:r>
        <w:rPr>
          <w:lang w:val="pt-BR" w:eastAsia="pt-BR"/>
        </w:rPr>
        <w:t xml:space="preserve">Gousmett, Chris.</w:t>
      </w:r>
      <w:r>
        <w:rPr>
          <w:lang w:val="pt-BR" w:eastAsia="pt-BR"/>
        </w:rPr>
        <w:t xml:space="preserve"> </w:t>
      </w:r>
      <w:r>
        <w:rPr>
          <w:lang w:val="pt-BR" w:eastAsia="pt-BR"/>
        </w:rPr>
        <w:t xml:space="preserve">“</w:t>
      </w:r>
      <w:r>
        <w:rPr>
          <w:lang w:val="pt-BR" w:eastAsia="pt-BR"/>
        </w:rPr>
        <w:t xml:space="preserve">The Confusion of Language in the Interpretation of Genesis 11.</w:t>
      </w:r>
      <w:r>
        <w:rPr>
          <w:lang w:val="pt-BR" w:eastAsia="pt-BR"/>
        </w:rPr>
        <w:t xml:space="preserve">”</w:t>
      </w:r>
      <w:r>
        <w:rPr>
          <w:lang w:val="pt-BR" w:eastAsia="pt-BR"/>
        </w:rPr>
        <w:t xml:space="preserve"> </w:t>
      </w:r>
      <w:r>
        <w:rPr>
          <w:iCs/>
          <w:i/>
          <w:lang w:val="pt-BR" w:eastAsia="pt-BR"/>
        </w:rPr>
        <w:t xml:space="preserve">Evangelical Quarterly</w:t>
      </w:r>
      <w:r>
        <w:rPr>
          <w:lang w:val="pt-BR" w:eastAsia="pt-BR"/>
        </w:rPr>
        <w:t xml:space="preserve"> </w:t>
      </w:r>
      <w:r>
        <w:rPr>
          <w:lang w:val="pt-BR" w:eastAsia="pt-BR"/>
        </w:rPr>
        <w:t xml:space="preserve">89.1 (2018): 34–50. DOI</w:t>
      </w:r>
      <w:r>
        <w:rPr>
          <w:lang w:val="pt-BR" w:eastAsia="pt-BR"/>
        </w:rPr>
        <w:t xml:space="preserve"> </w:t>
      </w:r>
      <w:hyperlink r:id="rId169">
        <w:r>
          <w:rPr>
            <w:rStyle w:val="Hyperlink"/>
            <w:color w:val="0D5B65"/>
          </w:rPr>
          <w:t xml:space="preserve">10.1163/27725472-08901003</w:t>
        </w:r>
      </w:hyperlink>
      <w:r>
        <w:rPr>
          <w:lang w:val="pt-BR" w:eastAsia="pt-BR"/>
        </w:rPr>
        <w:t xml:space="preserve">.</w:t>
      </w:r>
    </w:p>
    <w:p>
      <w:pPr>
        <w:pStyle w:val="BodyText"/>
      </w:pPr>
      <w:r>
        <w:rPr>
          <w:lang w:val="pt-BR" w:eastAsia="pt-BR"/>
        </w:rPr>
        <w:t xml:space="preserve">Hendel, Ronald.</w:t>
      </w:r>
      <w:r>
        <w:rPr>
          <w:lang w:val="pt-BR" w:eastAsia="pt-BR"/>
        </w:rPr>
        <w:t xml:space="preserve"> </w:t>
      </w:r>
      <w:r>
        <w:rPr>
          <w:iCs/>
          <w:i/>
          <w:lang w:val="pt-BR" w:eastAsia="pt-BR"/>
        </w:rPr>
        <w:t xml:space="preserve">Genesis 1–11: A New Translation with Introduction and Commentary</w:t>
      </w:r>
      <w:r>
        <w:rPr>
          <w:lang w:val="pt-BR" w:eastAsia="pt-BR"/>
        </w:rPr>
        <w:t xml:space="preserve">. Anchor Yale Bible. New Haven: Yale University Press, 2024. ISBN 978-0-300-14973-9.</w:t>
      </w:r>
      <w:r>
        <w:rPr>
          <w:lang w:val="pt-BR" w:eastAsia="pt-BR"/>
        </w:rPr>
        <w:t xml:space="preserve"> </w:t>
      </w:r>
      <w:hyperlink r:id="rId170">
        <w:r>
          <w:rPr>
            <w:rStyle w:val="Hyperlink"/>
            <w:color w:val="0D5B65"/>
          </w:rPr>
          <w:t xml:space="preserve">Página da editora</w:t>
        </w:r>
      </w:hyperlink>
      <w:r>
        <w:rPr>
          <w:lang w:val="pt-BR" w:eastAsia="pt-BR"/>
        </w:rPr>
        <w:t xml:space="preserve">.</w:t>
      </w:r>
    </w:p>
    <w:p>
      <w:pPr>
        <w:pStyle w:val="BodyText"/>
      </w:pPr>
      <w:r>
        <w:rPr>
          <w:lang w:val="pt-BR" w:eastAsia="pt-BR"/>
        </w:rPr>
        <w:t xml:space="preserve">Salvesen, Alison G.</w:t>
      </w:r>
      <w:r>
        <w:rPr>
          <w:lang w:val="pt-BR" w:eastAsia="pt-BR"/>
        </w:rPr>
        <w:t xml:space="preserve"> </w:t>
      </w:r>
      <w:r>
        <w:rPr>
          <w:lang w:val="pt-BR" w:eastAsia="pt-BR"/>
        </w:rPr>
        <w:t xml:space="preserve">“</w:t>
      </w:r>
      <w:r>
        <w:rPr>
          <w:lang w:val="pt-BR" w:eastAsia="pt-BR"/>
        </w:rPr>
        <w:t xml:space="preserve">‘</w:t>
      </w:r>
      <w:r>
        <w:rPr>
          <w:lang w:val="pt-BR" w:eastAsia="pt-BR"/>
        </w:rPr>
        <w:t xml:space="preserve">Hebrew, Beloved of God</w:t>
      </w:r>
      <w:r>
        <w:rPr>
          <w:lang w:val="pt-BR" w:eastAsia="pt-BR"/>
        </w:rPr>
        <w:t xml:space="preserve">’</w:t>
      </w:r>
      <w:r>
        <w:rPr>
          <w:lang w:val="pt-BR" w:eastAsia="pt-BR"/>
        </w:rPr>
        <w:t xml:space="preserve">: The Adamic Language in the Thought of Jacob, Bishop of Edessa (c. 633–708 CE).</w:t>
      </w:r>
      <w:r>
        <w:rPr>
          <w:lang w:val="pt-BR" w:eastAsia="pt-BR"/>
        </w:rPr>
        <w:t xml:space="preserve">”</w:t>
      </w:r>
      <w:r>
        <w:rPr>
          <w:lang w:val="pt-BR" w:eastAsia="pt-BR"/>
        </w:rPr>
        <w:t xml:space="preserve"> </w:t>
      </w:r>
      <w:r>
        <w:rPr>
          <w:lang w:val="pt-BR" w:eastAsia="pt-BR"/>
        </w:rPr>
        <w:t xml:space="preserve">In: Stein Kokin, Daniel (org.).</w:t>
      </w:r>
      <w:r>
        <w:rPr>
          <w:lang w:val="pt-BR" w:eastAsia="pt-BR"/>
        </w:rPr>
        <w:t xml:space="preserve"> </w:t>
      </w:r>
      <w:r>
        <w:rPr>
          <w:iCs/>
          <w:i/>
          <w:lang w:val="pt-BR" w:eastAsia="pt-BR"/>
        </w:rPr>
        <w:t xml:space="preserve">Hebrew between Jews and Christians</w:t>
      </w:r>
      <w:r>
        <w:rPr>
          <w:lang w:val="pt-BR" w:eastAsia="pt-BR"/>
        </w:rPr>
        <w:t xml:space="preserve">. Studia Judaica 77. Berlim/Boston: De Gruyter, 2023, p. 49–66.</w:t>
      </w:r>
      <w:r>
        <w:rPr>
          <w:lang w:val="pt-BR" w:eastAsia="pt-BR"/>
        </w:rPr>
        <w:t xml:space="preserve"> </w:t>
      </w:r>
      <w:hyperlink r:id="rId171">
        <w:r>
          <w:rPr>
            <w:rStyle w:val="Hyperlink"/>
            <w:color w:val="0D5B65"/>
          </w:rPr>
          <w:t xml:space="preserve">Repositório Oxford</w:t>
        </w:r>
      </w:hyperlink>
      <w:r>
        <w:rPr>
          <w:lang w:val="pt-BR" w:eastAsia="pt-BR"/>
        </w:rPr>
        <w:t xml:space="preserve">.</w:t>
      </w:r>
    </w:p>
    <w:p>
      <w:pPr>
        <w:pStyle w:val="BodyText"/>
      </w:pPr>
      <w:r>
        <w:rPr>
          <w:lang w:val="pt-BR" w:eastAsia="pt-BR"/>
        </w:rPr>
        <w:t xml:space="preserve">Sefaria.</w:t>
      </w:r>
      <w:r>
        <w:rPr>
          <w:lang w:val="pt-BR" w:eastAsia="pt-BR"/>
        </w:rPr>
        <w:t xml:space="preserve"> </w:t>
      </w:r>
      <w:r>
        <w:rPr>
          <w:iCs/>
          <w:i/>
          <w:lang w:val="pt-BR" w:eastAsia="pt-BR"/>
        </w:rPr>
        <w:t xml:space="preserve">Bereshit Rabbah</w:t>
      </w:r>
      <w:r>
        <w:rPr>
          <w:lang w:val="pt-BR" w:eastAsia="pt-BR"/>
        </w:rPr>
        <w:t xml:space="preserve"> </w:t>
      </w:r>
      <w:r>
        <w:rPr>
          <w:lang w:val="pt-BR" w:eastAsia="pt-BR"/>
        </w:rPr>
        <w:t xml:space="preserve">18:4;</w:t>
      </w:r>
      <w:r>
        <w:rPr>
          <w:lang w:val="pt-BR" w:eastAsia="pt-BR"/>
        </w:rPr>
        <w:t xml:space="preserve"> </w:t>
      </w:r>
      <w:r>
        <w:rPr>
          <w:iCs/>
          <w:i/>
          <w:lang w:val="pt-BR" w:eastAsia="pt-BR"/>
        </w:rPr>
        <w:t xml:space="preserve">Babylonian Talmud, Sanhedrin</w:t>
      </w:r>
      <w:r>
        <w:rPr>
          <w:lang w:val="pt-BR" w:eastAsia="pt-BR"/>
        </w:rPr>
        <w:t xml:space="preserve"> </w:t>
      </w:r>
      <w:r>
        <w:rPr>
          <w:lang w:val="pt-BR" w:eastAsia="pt-BR"/>
        </w:rPr>
        <w:t xml:space="preserve">38b. Edições digitais de fontes primárias, acesso em 8 ago. 2026.</w:t>
      </w:r>
      <w:r>
        <w:rPr>
          <w:lang w:val="pt-BR" w:eastAsia="pt-BR"/>
        </w:rPr>
        <w:t xml:space="preserve"> </w:t>
      </w:r>
      <w:hyperlink r:id="rId172">
        <w:r>
          <w:rPr>
            <w:rStyle w:val="Hyperlink"/>
            <w:color w:val="0D5B65"/>
          </w:rPr>
          <w:t xml:space="preserve">Bereshit Rabbah 18:4</w:t>
        </w:r>
      </w:hyperlink>
      <w:r>
        <w:rPr>
          <w:lang w:val="pt-BR" w:eastAsia="pt-BR"/>
        </w:rPr>
        <w:t xml:space="preserve">;</w:t>
      </w:r>
      <w:r>
        <w:rPr>
          <w:lang w:val="pt-BR" w:eastAsia="pt-BR"/>
        </w:rPr>
        <w:t xml:space="preserve"> </w:t>
      </w:r>
      <w:hyperlink r:id="rId173">
        <w:r>
          <w:rPr>
            <w:rStyle w:val="Hyperlink"/>
            <w:color w:val="0D5B65"/>
          </w:rPr>
          <w:t xml:space="preserve">Sanhedrin 38b</w:t>
        </w:r>
      </w:hyperlink>
      <w:r>
        <w:rPr>
          <w:lang w:val="pt-BR" w:eastAsia="pt-BR"/>
        </w:rPr>
        <w:t xml:space="preserve">.</w:t>
      </w:r>
    </w:p>
    <w:bookmarkEnd w:id="174"/>
    <w:bookmarkStart w:id="178" w:name="evolução-da-linguagem-humana"/>
    <w:p>
      <w:pPr>
        <w:pStyle w:val="Heading2"/>
      </w:pPr>
      <w:r>
        <w:rPr>
          <w:lang w:val="pt-BR" w:eastAsia="pt-BR"/>
        </w:rPr>
        <w:t xml:space="preserve">Evolução da linguagem humana</w:t>
      </w:r>
    </w:p>
    <w:p>
      <w:pPr>
        <w:pStyle w:val="FirstParagraph"/>
      </w:pPr>
      <w:r>
        <w:rPr>
          <w:lang w:val="pt-BR" w:eastAsia="pt-BR"/>
        </w:rPr>
        <w:t xml:space="preserve">Arnon, Inbal et al. </w:t>
      </w:r>
      <w:r>
        <w:rPr>
          <w:lang w:val="pt-BR" w:eastAsia="pt-BR"/>
        </w:rPr>
        <w:t xml:space="preserve">“</w:t>
      </w:r>
      <w:r>
        <w:rPr>
          <w:lang w:val="pt-BR" w:eastAsia="pt-BR"/>
        </w:rPr>
        <w:t xml:space="preserve">What Enables Human Language? A Biocultural Framework.</w:t>
      </w:r>
      <w:r>
        <w:rPr>
          <w:lang w:val="pt-BR" w:eastAsia="pt-BR"/>
        </w:rPr>
        <w:t xml:space="preserve">”</w:t>
      </w:r>
      <w:r>
        <w:rPr>
          <w:lang w:val="pt-BR" w:eastAsia="pt-BR"/>
        </w:rPr>
        <w:t xml:space="preserve"> </w:t>
      </w:r>
      <w:r>
        <w:rPr>
          <w:iCs/>
          <w:i/>
          <w:lang w:val="pt-BR" w:eastAsia="pt-BR"/>
        </w:rPr>
        <w:t xml:space="preserve">Science</w:t>
      </w:r>
      <w:r>
        <w:rPr>
          <w:lang w:val="pt-BR" w:eastAsia="pt-BR"/>
        </w:rPr>
        <w:t xml:space="preserve"> </w:t>
      </w:r>
      <w:r>
        <w:rPr>
          <w:lang w:val="pt-BR" w:eastAsia="pt-BR"/>
        </w:rPr>
        <w:t xml:space="preserve">(2025). DOI</w:t>
      </w:r>
      <w:r>
        <w:rPr>
          <w:lang w:val="pt-BR" w:eastAsia="pt-BR"/>
        </w:rPr>
        <w:t xml:space="preserve"> </w:t>
      </w:r>
      <w:hyperlink r:id="rId175">
        <w:r>
          <w:rPr>
            <w:rStyle w:val="Hyperlink"/>
            <w:color w:val="0D5B65"/>
          </w:rPr>
          <w:t xml:space="preserve">10.1126/science.adq8303</w:t>
        </w:r>
      </w:hyperlink>
      <w:r>
        <w:rPr>
          <w:lang w:val="pt-BR" w:eastAsia="pt-BR"/>
        </w:rPr>
        <w:t xml:space="preserve">.</w:t>
      </w:r>
    </w:p>
    <w:p>
      <w:pPr>
        <w:pStyle w:val="BodyText"/>
      </w:pPr>
      <w:r>
        <w:rPr>
          <w:lang w:val="pt-BR" w:eastAsia="pt-BR"/>
        </w:rPr>
        <w:t xml:space="preserve">Miyagawa, Shigeru; DeSalle, Rob; Nóbrega, Vitor A.; Nitschke, Remo; Okumura, Maki; Tattersall, Ian.</w:t>
      </w:r>
      <w:r>
        <w:rPr>
          <w:lang w:val="pt-BR" w:eastAsia="pt-BR"/>
        </w:rPr>
        <w:t xml:space="preserve"> </w:t>
      </w:r>
      <w:r>
        <w:rPr>
          <w:lang w:val="pt-BR" w:eastAsia="pt-BR"/>
        </w:rPr>
        <w:t xml:space="preserve">“</w:t>
      </w:r>
      <w:r>
        <w:rPr>
          <w:lang w:val="pt-BR" w:eastAsia="pt-BR"/>
        </w:rPr>
        <w:t xml:space="preserve">Linguistic Capacity Was Present in the</w:t>
      </w:r>
      <w:r>
        <w:rPr>
          <w:lang w:val="pt-BR" w:eastAsia="pt-BR"/>
        </w:rPr>
        <w:t xml:space="preserve"> </w:t>
      </w:r>
      <w:r>
        <w:rPr>
          <w:iCs/>
          <w:i/>
          <w:lang w:val="pt-BR" w:eastAsia="pt-BR"/>
        </w:rPr>
        <w:t xml:space="preserve">Homo sapiens</w:t>
      </w:r>
      <w:r>
        <w:rPr>
          <w:lang w:val="pt-BR" w:eastAsia="pt-BR"/>
        </w:rPr>
        <w:t xml:space="preserve"> </w:t>
      </w:r>
      <w:r>
        <w:rPr>
          <w:lang w:val="pt-BR" w:eastAsia="pt-BR"/>
        </w:rPr>
        <w:t xml:space="preserve">Population 135 Thousand Years Ago.</w:t>
      </w:r>
      <w:r>
        <w:rPr>
          <w:lang w:val="pt-BR" w:eastAsia="pt-BR"/>
        </w:rPr>
        <w:t xml:space="preserve">”</w:t>
      </w:r>
      <w:r>
        <w:rPr>
          <w:lang w:val="pt-BR" w:eastAsia="pt-BR"/>
        </w:rPr>
        <w:t xml:space="preserve"> </w:t>
      </w:r>
      <w:r>
        <w:rPr>
          <w:iCs/>
          <w:i/>
          <w:lang w:val="pt-BR" w:eastAsia="pt-BR"/>
        </w:rPr>
        <w:t xml:space="preserve">Frontiers in Psychology</w:t>
      </w:r>
      <w:r>
        <w:rPr>
          <w:lang w:val="pt-BR" w:eastAsia="pt-BR"/>
        </w:rPr>
        <w:t xml:space="preserve"> </w:t>
      </w:r>
      <w:r>
        <w:rPr>
          <w:lang w:val="pt-BR" w:eastAsia="pt-BR"/>
        </w:rPr>
        <w:t xml:space="preserve">16 (2025): 1503900. DOI</w:t>
      </w:r>
      <w:r>
        <w:rPr>
          <w:lang w:val="pt-BR" w:eastAsia="pt-BR"/>
        </w:rPr>
        <w:t xml:space="preserve"> </w:t>
      </w:r>
      <w:hyperlink r:id="rId176">
        <w:r>
          <w:rPr>
            <w:rStyle w:val="Hyperlink"/>
            <w:color w:val="0D5B65"/>
          </w:rPr>
          <w:t xml:space="preserve">10.3389/fpsyg.2025.1503900</w:t>
        </w:r>
      </w:hyperlink>
      <w:r>
        <w:rPr>
          <w:lang w:val="pt-BR" w:eastAsia="pt-BR"/>
        </w:rPr>
        <w:t xml:space="preserve">.</w:t>
      </w:r>
    </w:p>
    <w:p>
      <w:pPr>
        <w:pStyle w:val="BodyText"/>
      </w:pPr>
      <w:r>
        <w:rPr>
          <w:lang w:val="pt-BR" w:eastAsia="pt-BR"/>
        </w:rPr>
        <w:t xml:space="preserve">Pagel, Mark.</w:t>
      </w:r>
      <w:r>
        <w:rPr>
          <w:lang w:val="pt-BR" w:eastAsia="pt-BR"/>
        </w:rPr>
        <w:t xml:space="preserve"> </w:t>
      </w:r>
      <w:r>
        <w:rPr>
          <w:lang w:val="pt-BR" w:eastAsia="pt-BR"/>
        </w:rPr>
        <w:t xml:space="preserve">“</w:t>
      </w:r>
      <w:r>
        <w:rPr>
          <w:lang w:val="pt-BR" w:eastAsia="pt-BR"/>
        </w:rPr>
        <w:t xml:space="preserve">Q&amp;A: What Is Human Language, When Did It Evolve and Why Should We Care?</w:t>
      </w:r>
      <w:r>
        <w:rPr>
          <w:lang w:val="pt-BR" w:eastAsia="pt-BR"/>
        </w:rPr>
        <w:t xml:space="preserve">”</w:t>
      </w:r>
      <w:r>
        <w:rPr>
          <w:lang w:val="pt-BR" w:eastAsia="pt-BR"/>
        </w:rPr>
        <w:t xml:space="preserve"> </w:t>
      </w:r>
      <w:r>
        <w:rPr>
          <w:iCs/>
          <w:i/>
          <w:lang w:val="pt-BR" w:eastAsia="pt-BR"/>
        </w:rPr>
        <w:t xml:space="preserve">BMC Biology</w:t>
      </w:r>
      <w:r>
        <w:rPr>
          <w:lang w:val="pt-BR" w:eastAsia="pt-BR"/>
        </w:rPr>
        <w:t xml:space="preserve"> </w:t>
      </w:r>
      <w:r>
        <w:rPr>
          <w:lang w:val="pt-BR" w:eastAsia="pt-BR"/>
        </w:rPr>
        <w:t xml:space="preserve">15 (2017): art. 64.</w:t>
      </w:r>
      <w:r>
        <w:rPr>
          <w:lang w:val="pt-BR" w:eastAsia="pt-BR"/>
        </w:rPr>
        <w:t xml:space="preserve"> </w:t>
      </w:r>
      <w:hyperlink r:id="rId177">
        <w:r>
          <w:rPr>
            <w:rStyle w:val="Hyperlink"/>
            <w:color w:val="0D5B65"/>
          </w:rPr>
          <w:t xml:space="preserve">Texto integral em PubMed Central</w:t>
        </w:r>
      </w:hyperlink>
      <w:r>
        <w:rPr>
          <w:lang w:val="pt-BR" w:eastAsia="pt-BR"/>
        </w:rPr>
        <w:t xml:space="preserve">.</w:t>
      </w:r>
    </w:p>
    <w:bookmarkEnd w:id="178"/>
    <w:bookmarkStart w:id="181" w:name="Xadf65b3626874acac659a324433d023216256a2"/>
    <w:p>
      <w:pPr>
        <w:pStyle w:val="Heading2"/>
      </w:pPr>
      <w:r>
        <w:rPr>
          <w:lang w:val="pt-BR" w:eastAsia="pt-BR"/>
        </w:rPr>
        <w:t xml:space="preserve">Fontes populares usadas apenas para formular alegações</w:t>
      </w:r>
    </w:p>
    <w:p>
      <w:pPr>
        <w:pStyle w:val="FirstParagraph"/>
      </w:pPr>
      <w:r>
        <w:rPr>
          <w:lang w:val="pt-BR" w:eastAsia="pt-BR"/>
        </w:rPr>
        <w:t xml:space="preserve">Answers in Genesis.</w:t>
      </w:r>
      <w:r>
        <w:rPr>
          <w:lang w:val="pt-BR" w:eastAsia="pt-BR"/>
        </w:rPr>
        <w:t xml:space="preserve"> </w:t>
      </w:r>
      <w:r>
        <w:rPr>
          <w:lang w:val="pt-BR" w:eastAsia="pt-BR"/>
        </w:rPr>
        <w:t xml:space="preserve">“</w:t>
      </w:r>
      <w:r>
        <w:rPr>
          <w:lang w:val="pt-BR" w:eastAsia="pt-BR"/>
        </w:rPr>
        <w:t xml:space="preserve">What Language Did Adam Speak?</w:t>
      </w:r>
      <w:r>
        <w:rPr>
          <w:lang w:val="pt-BR" w:eastAsia="pt-BR"/>
        </w:rPr>
        <w:t xml:space="preserve">”</w:t>
      </w:r>
      <w:r>
        <w:rPr>
          <w:lang w:val="pt-BR" w:eastAsia="pt-BR"/>
        </w:rPr>
        <w:t xml:space="preserve"> </w:t>
      </w:r>
      <w:hyperlink r:id="rId179">
        <w:r>
          <w:rPr>
            <w:rStyle w:val="Hyperlink"/>
            <w:color w:val="0D5B65"/>
          </w:rPr>
          <w:t xml:space="preserve">Página consultada</w:t>
        </w:r>
      </w:hyperlink>
      <w:r>
        <w:rPr>
          <w:lang w:val="pt-BR" w:eastAsia="pt-BR"/>
        </w:rPr>
        <w:t xml:space="preserve">. Usada como amostra de argumento confessional contemporâneo, não como fonte histórica.</w:t>
      </w:r>
    </w:p>
    <w:p>
      <w:pPr>
        <w:pStyle w:val="BodyText"/>
      </w:pPr>
      <w:r>
        <w:rPr>
          <w:lang w:val="pt-BR" w:eastAsia="pt-BR"/>
        </w:rPr>
        <w:t xml:space="preserve">Petrovich, Douglas.</w:t>
      </w:r>
      <w:r>
        <w:rPr>
          <w:lang w:val="pt-BR" w:eastAsia="pt-BR"/>
        </w:rPr>
        <w:t xml:space="preserve"> </w:t>
      </w:r>
      <w:r>
        <w:rPr>
          <w:lang w:val="pt-BR" w:eastAsia="pt-BR"/>
        </w:rPr>
        <w:t xml:space="preserve">“</w:t>
      </w:r>
      <w:r>
        <w:rPr>
          <w:lang w:val="pt-BR" w:eastAsia="pt-BR"/>
        </w:rPr>
        <w:t xml:space="preserve">Hebrew as the Language behind the World’s First Alphabet?</w:t>
      </w:r>
      <w:r>
        <w:rPr>
          <w:lang w:val="pt-BR" w:eastAsia="pt-BR"/>
        </w:rPr>
        <w:t xml:space="preserve">”</w:t>
      </w:r>
      <w:r>
        <w:rPr>
          <w:lang w:val="pt-BR" w:eastAsia="pt-BR"/>
        </w:rPr>
        <w:t xml:space="preserve"> </w:t>
      </w:r>
      <w:r>
        <w:rPr>
          <w:iCs/>
          <w:i/>
          <w:lang w:val="pt-BR" w:eastAsia="pt-BR"/>
        </w:rPr>
        <w:t xml:space="preserve">Ancient Near East Today</w:t>
      </w:r>
      <w:r>
        <w:rPr>
          <w:lang w:val="pt-BR" w:eastAsia="pt-BR"/>
        </w:rPr>
        <w:t xml:space="preserve">, ASOR, 2017.</w:t>
      </w:r>
      <w:r>
        <w:rPr>
          <w:lang w:val="pt-BR" w:eastAsia="pt-BR"/>
        </w:rPr>
        <w:t xml:space="preserve"> </w:t>
      </w:r>
      <w:hyperlink r:id="rId180">
        <w:r>
          <w:rPr>
            <w:rStyle w:val="Hyperlink"/>
            <w:color w:val="0D5B65"/>
          </w:rPr>
          <w:t xml:space="preserve">Texto da alegação</w:t>
        </w:r>
      </w:hyperlink>
      <w:r>
        <w:rPr>
          <w:lang w:val="pt-BR" w:eastAsia="pt-BR"/>
        </w:rPr>
        <w:t xml:space="preserve">. Avaliado à luz de Wilson-Wright (2020), Finkelstein e Sass (2013) e Rollston (2010).</w:t>
      </w:r>
    </w:p>
    <w:bookmarkEnd w:id="181"/>
    <w:bookmarkEnd w:id="182"/>
    <w:bookmarkStart w:id="183" w:name="apêndice-a.-escala-de-confiança-usada"/>
    <w:p>
      <w:bookmarkStart w:id="526" w:name="sec_027"/>
      <w:pPr>
        <w:pStyle w:val="Heading1"/>
        <w:pBdr>
          <w:bottom w:val="single" w:sz="12" w:space="6" w:color="C4942F"/>
        </w:pBdr>
        <w:spacing w:before="160" w:after="80"/>
      </w:pPr>
      <w:r>
        <w:rPr>
          <w:sz w:val="32"/>
          <w:lang w:val="pt-BR" w:eastAsia="pt-BR"/>
        </w:rPr>
        <w:t xml:space="preserve">Apêndice A. Escala de confiança usada</w:t>
      </w:r>
      <w:bookmarkEnd w:id="526"/>
    </w:p>
    <w:tbl>
      <w:tblPr>
        <w:tblStyle w:val="TableGrid"/>
        <w:tblW w:type="auto" w:w="0"/>
        <w:jc w:val="center"/>
        <w:tblLayout w:type="autofit"/>
        <w:tblLook w:firstColumn="1" w:firstRow="1" w:lastColumn="0" w:lastRow="0" w:noHBand="0" w:noVBand="1" w:val="04A0"/>
        <w:tblBorders>
          <w:top w:val="single" w:sz="4" w:color="9AAEB2"/>
          <w:left w:val="single" w:sz="4" w:color="9AAEB2"/>
          <w:bottom w:val="single" w:sz="4" w:color="9AAEB2"/>
          <w:right w:val="single" w:sz="4" w:color="9AAEB2"/>
          <w:insideH w:val="single" w:sz="4" w:color="9AAEB2"/>
          <w:insideV w:val="single" w:sz="4" w:color="9AAEB2"/>
        </w:tblBorders>
      </w:tblPr>
      <w:tblGrid>
        <w:gridCol w:w="4819"/>
        <w:gridCol w:w="4819"/>
      </w:tblGrid>
      <w:tr>
        <w:trPr>
          <w:tblHeader w:val="true"/>
          <w:cantSplit/>
        </w:trPr>
        <w:tc>
          <w:tcPr>
            <w:tcW w:type="dxa" w:w="481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Nível</w:t>
            </w:r>
          </w:p>
        </w:tc>
        <w:tc>
          <w:tcPr>
            <w:tcW w:type="dxa" w:w="4819"/>
            <w:vAlign w:val="center"/>
            <w:tcMar>
              <w:top w:w="90" w:type="dxa"/>
              <w:start w:w="100" w:type="dxa"/>
              <w:bottom w:w="90" w:type="dxa"/>
              <w:end w:w="100" w:type="dxa"/>
            </w:tcMar>
            <w:shd w:fill="17262A"/>
          </w:tcPr>
          <w:p>
            <w:pPr>
              <w:spacing w:after="30" w:line="240" w:lineRule="auto"/>
              <w:jc w:val="left"/>
            </w:pPr>
            <w:r>
              <w:rPr>
                <w:rFonts w:ascii="DejaVu Sans" w:hAnsi="DejaVu Sans"/>
                <w:b/>
                <w:color w:val="FFFFFF"/>
                <w:sz w:val="17"/>
                <w:lang w:val="pt-BR" w:eastAsia="pt-BR"/>
              </w:rPr>
              <w:t>Significado neste dossiê</w:t>
            </w:r>
          </w:p>
        </w:tc>
      </w:tr>
      <w:tr>
        <w:trPr>
          <w:cantSplit/>
        </w:trPr>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Muito alta</w:t>
            </w:r>
          </w:p>
        </w:tc>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Convergência de métodos independentes; contestação marginal não altera o núcleo</w:t>
            </w:r>
          </w:p>
        </w:tc>
      </w:tr>
      <w:tr>
        <w:trPr>
          <w:cantSplit/>
        </w:trPr>
        <w:tc>
          <w:tcPr>
            <w:tcW w:type="dxa" w:w="481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Alta</w:t>
            </w:r>
          </w:p>
        </w:tc>
        <w:tc>
          <w:tcPr>
            <w:tcW w:type="dxa" w:w="481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Evidência direta ou comparativa forte, com limites identificáveis</w:t>
            </w:r>
          </w:p>
        </w:tc>
      </w:tr>
      <w:tr>
        <w:trPr>
          <w:cantSplit/>
        </w:trPr>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Moderada</w:t>
            </w:r>
          </w:p>
        </w:tc>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Melhor explicação atual, mas dependente de dados incompletos ou associação indireta</w:t>
            </w:r>
          </w:p>
        </w:tc>
      </w:tr>
      <w:tr>
        <w:trPr>
          <w:cantSplit/>
        </w:trPr>
        <w:tc>
          <w:tcPr>
            <w:tcW w:type="dxa" w:w="481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Baixa</w:t>
            </w:r>
          </w:p>
        </w:tc>
        <w:tc>
          <w:tcPr>
            <w:tcW w:type="dxa" w:w="4819"/>
            <w:vAlign w:val="center"/>
            <w:tcMar>
              <w:top w:w="90" w:type="dxa"/>
              <w:start w:w="100" w:type="dxa"/>
              <w:bottom w:w="90" w:type="dxa"/>
              <w:end w:w="100" w:type="dxa"/>
            </w:tcMar>
            <w:shd w:fill="F1F5F3"/>
          </w:tcPr>
          <w:p>
            <w:pPr>
              <w:spacing w:after="30" w:line="240" w:lineRule="auto"/>
              <w:jc w:val="left"/>
            </w:pPr>
            <w:r>
              <w:rPr>
                <w:rFonts w:ascii="DejaVu Sans" w:hAnsi="DejaVu Sans"/>
                <w:color w:val="17262A"/>
                <w:sz w:val="17"/>
                <w:lang w:val="pt-BR" w:eastAsia="pt-BR"/>
              </w:rPr>
              <w:t>Proposta possível, sem diagnóstico suficiente</w:t>
            </w:r>
          </w:p>
        </w:tc>
      </w:tr>
      <w:tr>
        <w:trPr>
          <w:cantSplit/>
        </w:trPr>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Inconclusiva/não testável</w:t>
            </w:r>
          </w:p>
        </w:tc>
        <w:tc>
          <w:tcPr>
            <w:tcW w:type="dxa" w:w="4819"/>
            <w:vAlign w:val="center"/>
            <w:tcMar>
              <w:top w:w="90" w:type="dxa"/>
              <w:start w:w="100" w:type="dxa"/>
              <w:bottom w:w="90" w:type="dxa"/>
              <w:end w:w="100" w:type="dxa"/>
            </w:tcMar>
          </w:tcPr>
          <w:p>
            <w:pPr>
              <w:spacing w:after="30" w:line="240" w:lineRule="auto"/>
              <w:jc w:val="left"/>
            </w:pPr>
            <w:r>
              <w:rPr>
                <w:rFonts w:ascii="DejaVu Sans" w:hAnsi="DejaVu Sans"/>
                <w:color w:val="17262A"/>
                <w:sz w:val="17"/>
                <w:lang w:val="pt-BR" w:eastAsia="pt-BR"/>
              </w:rPr>
              <w:t>Dados ou método não alcançam a proposição</w:t>
            </w:r>
          </w:p>
        </w:tc>
      </w:tr>
    </w:tbl>
    <w:bookmarkEnd w:id="183"/>
    <w:bookmarkStart w:id="184" w:name="X50995c0c7bb603b46b9ae5880edb3c5ca26b3b1"/>
    <w:p>
      <w:bookmarkStart w:id="527" w:name="sec_028"/>
      <w:pPr>
        <w:pStyle w:val="Heading1"/>
        <w:pBdr>
          <w:bottom w:val="single" w:sz="12" w:space="6" w:color="C4942F"/>
        </w:pBdr>
        <w:spacing w:before="160" w:after="80"/>
      </w:pPr>
      <w:r>
        <w:rPr>
          <w:sz w:val="32"/>
          <w:lang w:val="pt-BR" w:eastAsia="pt-BR"/>
        </w:rPr>
        <w:t xml:space="preserve">Apêndice B. Checklist para avaliar novas alegações etimológicas</w:t>
      </w:r>
      <w:bookmarkEnd w:id="527"/>
    </w:p>
    <w:p>
      <w:pPr>
        <w:pStyle w:val="FirstParagraph"/>
        <w:spacing w:before="0" w:after="20" w:line="240" w:lineRule="auto"/>
      </w:pPr>
      <w:r>
        <w:rPr>
          <w:sz w:val="19"/>
          <w:lang w:val="pt-BR" w:eastAsia="pt-BR"/>
        </w:rPr>
        <w:t xml:space="preserve">Antes de aceitar que uma palavra de outra língua</w:t>
      </w:r>
      <w:r>
        <w:rPr>
          <w:sz w:val="19"/>
          <w:lang w:val="pt-BR" w:eastAsia="pt-BR"/>
        </w:rPr>
        <w:t xml:space="preserve"> </w:t>
      </w:r>
      <w:r>
        <w:rPr>
          <w:sz w:val="19"/>
          <w:lang w:val="pt-BR" w:eastAsia="pt-BR"/>
        </w:rPr>
        <w:t xml:space="preserve">“</w:t>
      </w:r>
      <w:r>
        <w:rPr>
          <w:sz w:val="19"/>
          <w:lang w:val="pt-BR" w:eastAsia="pt-BR"/>
        </w:rPr>
        <w:t xml:space="preserve">vem do hebraico</w:t>
      </w:r>
      <w:r>
        <w:rPr>
          <w:sz w:val="19"/>
          <w:lang w:val="pt-BR" w:eastAsia="pt-BR"/>
        </w:rPr>
        <w:t xml:space="preserve">”</w:t>
      </w:r>
      <w:r>
        <w:rPr>
          <w:sz w:val="19"/>
          <w:lang w:val="pt-BR" w:eastAsia="pt-BR"/>
        </w:rPr>
        <w:t xml:space="preserve">, pergunte:</w:t>
      </w:r>
    </w:p>
    <w:p>
      <w:pPr>
        <w:numPr>
          <w:ilvl w:val="0"/>
          <w:numId w:val="1021"/>
        </w:numPr>
        <w:pStyle w:val="Compact"/>
        <w:spacing w:before="0" w:after="20" w:line="240" w:lineRule="auto"/>
      </w:pPr>
      <w:r>
        <w:rPr>
          <w:sz w:val="19"/>
          <w:lang w:val="pt-BR" w:eastAsia="pt-BR"/>
        </w:rPr>
        <w:t xml:space="preserve">Qual é a forma mais antiga atestada em cada língua?</w:t>
      </w:r>
    </w:p>
    <w:p>
      <w:pPr>
        <w:numPr>
          <w:ilvl w:val="0"/>
          <w:numId w:val="1021"/>
        </w:numPr>
        <w:pStyle w:val="Compact"/>
        <w:spacing w:before="0" w:after="20" w:line="240" w:lineRule="auto"/>
      </w:pPr>
      <w:r>
        <w:rPr>
          <w:sz w:val="19"/>
          <w:lang w:val="pt-BR" w:eastAsia="pt-BR"/>
        </w:rPr>
        <w:t xml:space="preserve">A correspondência sonora se repete em pelo menos dezenas de cognatos?</w:t>
      </w:r>
    </w:p>
    <w:p>
      <w:pPr>
        <w:numPr>
          <w:ilvl w:val="0"/>
          <w:numId w:val="1021"/>
        </w:numPr>
        <w:pStyle w:val="Compact"/>
        <w:spacing w:before="0" w:after="20" w:line="240" w:lineRule="auto"/>
      </w:pPr>
      <w:r>
        <w:rPr>
          <w:sz w:val="19"/>
          <w:lang w:val="pt-BR" w:eastAsia="pt-BR"/>
        </w:rPr>
        <w:t xml:space="preserve">O significado antigo coincide sem metáfora improvisada?</w:t>
      </w:r>
    </w:p>
    <w:p>
      <w:pPr>
        <w:numPr>
          <w:ilvl w:val="0"/>
          <w:numId w:val="1021"/>
        </w:numPr>
        <w:pStyle w:val="Compact"/>
        <w:spacing w:before="0" w:after="20" w:line="240" w:lineRule="auto"/>
      </w:pPr>
      <w:r>
        <w:rPr>
          <w:sz w:val="19"/>
          <w:lang w:val="pt-BR" w:eastAsia="pt-BR"/>
        </w:rPr>
        <w:t xml:space="preserve">Há morfemas gramaticais e paradigmas compartilhados?</w:t>
      </w:r>
    </w:p>
    <w:p>
      <w:pPr>
        <w:numPr>
          <w:ilvl w:val="0"/>
          <w:numId w:val="1021"/>
        </w:numPr>
        <w:pStyle w:val="Compact"/>
        <w:spacing w:before="0" w:after="20" w:line="240" w:lineRule="auto"/>
      </w:pPr>
      <w:r>
        <w:rPr>
          <w:sz w:val="19"/>
          <w:lang w:val="pt-BR" w:eastAsia="pt-BR"/>
        </w:rPr>
        <w:t xml:space="preserve">A direção cronológica é possível?</w:t>
      </w:r>
    </w:p>
    <w:p>
      <w:pPr>
        <w:numPr>
          <w:ilvl w:val="0"/>
          <w:numId w:val="1021"/>
        </w:numPr>
        <w:pStyle w:val="Compact"/>
        <w:spacing w:before="0" w:after="20" w:line="240" w:lineRule="auto"/>
      </w:pPr>
      <w:r>
        <w:rPr>
          <w:sz w:val="19"/>
          <w:lang w:val="pt-BR" w:eastAsia="pt-BR"/>
        </w:rPr>
        <w:t xml:space="preserve">Existe rota de contato que favoreça empréstimo?</w:t>
      </w:r>
    </w:p>
    <w:p>
      <w:pPr>
        <w:numPr>
          <w:ilvl w:val="0"/>
          <w:numId w:val="1021"/>
        </w:numPr>
        <w:pStyle w:val="Compact"/>
        <w:spacing w:before="0" w:after="20" w:line="240" w:lineRule="auto"/>
      </w:pPr>
      <w:r>
        <w:rPr>
          <w:sz w:val="19"/>
          <w:lang w:val="pt-BR" w:eastAsia="pt-BR"/>
        </w:rPr>
        <w:t xml:space="preserve">A proposta foi comparada a reconstruções já existentes?</w:t>
      </w:r>
    </w:p>
    <w:p>
      <w:pPr>
        <w:numPr>
          <w:ilvl w:val="0"/>
          <w:numId w:val="1021"/>
        </w:numPr>
        <w:pStyle w:val="Compact"/>
        <w:spacing w:before="0" w:after="20" w:line="240" w:lineRule="auto"/>
      </w:pPr>
      <w:r>
        <w:rPr>
          <w:sz w:val="19"/>
          <w:lang w:val="pt-BR" w:eastAsia="pt-BR"/>
        </w:rPr>
        <w:t xml:space="preserve">Ela prevê formas novas ou apenas reorganiza exemplos escolhidos?</w:t>
      </w:r>
    </w:p>
    <w:p>
      <w:pPr>
        <w:numPr>
          <w:ilvl w:val="0"/>
          <w:numId w:val="1021"/>
        </w:numPr>
        <w:pStyle w:val="Compact"/>
        <w:spacing w:before="0" w:after="20" w:line="240" w:lineRule="auto"/>
      </w:pPr>
      <w:r>
        <w:rPr>
          <w:sz w:val="19"/>
          <w:lang w:val="pt-BR" w:eastAsia="pt-BR"/>
        </w:rPr>
        <w:t xml:space="preserve">Controla acaso, onomatopeia e palavras infantis?</w:t>
      </w:r>
    </w:p>
    <w:p>
      <w:pPr>
        <w:numPr>
          <w:ilvl w:val="0"/>
          <w:numId w:val="1021"/>
        </w:numPr>
        <w:pStyle w:val="Compact"/>
        <w:spacing w:before="0" w:after="20" w:line="240" w:lineRule="auto"/>
      </w:pPr>
      <w:r>
        <w:rPr>
          <w:sz w:val="19"/>
          <w:lang w:val="pt-BR" w:eastAsia="pt-BR"/>
        </w:rPr>
        <w:t xml:space="preserve">Publica dados suficientes para que outro pesquisador possa refutá-la?</w:t>
      </w:r>
    </w:p>
    <w:p>
      <w:pPr>
        <w:pStyle w:val="FirstParagraph"/>
        <w:spacing w:before="0" w:after="20" w:line="240" w:lineRule="auto"/>
      </w:pPr>
      <w:r>
        <w:rPr>
          <w:sz w:val="19"/>
          <w:lang w:val="pt-BR" w:eastAsia="pt-BR"/>
        </w:rPr>
        <w:t xml:space="preserve">Uma resposta negativa a uma pergunta não encerra automaticamente a investigação. Um conjunto de respostas negativas, porém, impede que semelhança seja promovida a genealogia.</w:t>
      </w:r>
    </w:p>
    <w:bookmarkEnd w:id="184"/>
    <w:sectPr w:rsidR="00FC693F" w:rsidRPr="0006063C" w:rsidSect="00034616">
      <w:headerReference w:type="default" r:id="rId9"/>
      <w:footerReference w:type="default" r:id="rId10"/>
      <w:pgSz w:h="16838" w:w="11906"/>
      <w:pgMar w:bottom="964" w:footer="397" w:gutter="0" w:header="425" w:left="1134" w:right="1134" w:top="1077"/>
      <w:cols w:space="720"/>
      <w:titlePg/>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DejaVu Sans" w:hAnsi="DejaVu Sans"/>
        <w:color w:val="667B80"/>
        <w:sz w:val="16"/>
      </w:rPr>
      <w:t xml:space="preserve">PÁGINA </w:t>
    </w:r>
    <w:fldSimple w:instr="PAGE">
      <w:r>
        <w:rPr>
          <w:color w:val="8A641B"/>
        </w:rPr>
      </w:r>
    </w:fldSimple>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8" w:space="6" w:color="8A641B"/>
      </w:pBdr>
    </w:pPr>
    <w:r>
      <w:rPr>
        <w:rFonts w:ascii="DejaVu Sans" w:hAnsi="DejaVu Sans"/>
        <w:b/>
        <w:color w:val="667B80"/>
        <w:sz w:val="15"/>
      </w:rPr>
      <w:t>A BÍBLIA EM ANÁLISE   •   DOSSIÊ ACADÊMICO</w:t>
    </w:r>
  </w:p>
</w:hdr>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stylePaneFormatFilter w:val="0004"/>
  <w:footnotePr>
    <w:footnote w:id="-1"/>
    <w:footnote w:id="0"/>
  </w:footnotePr>
  <w:doNotTrackMoves/>
  <w:drawingGridHorizontalSpacing w:val="360"/>
  <w:drawingGridVerticalSpacing w:val="360"/>
  <w:displayHorizontalDrawingGridEvery w:val="0"/>
  <w:displayVerticalDrawingGridEvery w:val="0"/>
  <w:rsids>
  </w:rsids>
  <w:clrSchemeMapping w:accent1="accent1" w:accent2="accent2" w:accent3="accent3" w:accent4="accent4" w:accent5="accent5" w:accent6="accent6" w:bg1="light1" w:bg2="light2" w:followedHyperlink="followedHyperlink" w:hyperlink="hyperlink" w:t1="dark1" w:t2="dark2"/>
  <w:zoom w:val="bestFit"/>
  <w:proofState w:grammar="clean"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pt-BR"/>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widowControl/>
      <w:spacing w:after="120" w:before="0" w:line="283" w:lineRule="auto"/>
      <w:jc w:val="both"/>
    </w:pPr>
    <w:rPr>
      <w:rFonts w:ascii="DejaVu Sans" w:eastAsia="DejaVu Sans" w:hAnsi="DejaVu Sans"/>
      <w:b w:val="0"/>
      <w:color w:val="17262A"/>
      <w:sz w:val="21"/>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pageBreakBefore w:val="0"/>
      <w:spacing w:after="180" w:before="360" w:line="240" w:lineRule="auto"/>
      <w:outlineLvl w:val="0"/>
    </w:pPr>
    <w:rPr>
      <w:rFonts w:ascii="DejaVu Sans" w:asciiTheme="majorHAnsi" w:cstheme="majorBidi" w:eastAsia="DejaVu Sans" w:eastAsiaTheme="majorEastAsia" w:hAnsi="DejaVu Sans" w:hAnsiTheme="majorHAnsi"/>
      <w:b/>
      <w:bCs/>
      <w:color w:val="8A641B"/>
      <w:sz w:val="36"/>
      <w:szCs w:val="28"/>
    </w:rPr>
  </w:style>
  <w:style w:styleId="Heading2" w:type="paragraph">
    <w:name w:val="heading 2"/>
    <w:basedOn w:val="Normal"/>
    <w:next w:val="Normal"/>
    <w:link w:val="Heading2Char"/>
    <w:uiPriority w:val="9"/>
    <w:unhideWhenUsed/>
    <w:qFormat/>
    <w:rsid w:val="00FC693F"/>
    <w:pPr>
      <w:keepNext/>
      <w:keepLines/>
      <w:spacing w:after="120" w:before="260" w:line="252" w:lineRule="auto"/>
      <w:outlineLvl w:val="1"/>
    </w:pPr>
    <w:rPr>
      <w:rFonts w:ascii="DejaVu Sans" w:asciiTheme="majorHAnsi" w:cstheme="majorBidi" w:eastAsia="DejaVu Sans" w:eastAsiaTheme="majorEastAsia" w:hAnsi="DejaVu Sans" w:hAnsiTheme="majorHAnsi"/>
      <w:b/>
      <w:bCs/>
      <w:color w:val="0D5B65"/>
      <w:sz w:val="27"/>
      <w:szCs w:val="26"/>
    </w:rPr>
  </w:style>
  <w:style w:styleId="Heading3" w:type="paragraph">
    <w:name w:val="heading 3"/>
    <w:basedOn w:val="Normal"/>
    <w:next w:val="Normal"/>
    <w:link w:val="Heading3Char"/>
    <w:uiPriority w:val="9"/>
    <w:unhideWhenUsed/>
    <w:qFormat/>
    <w:rsid w:val="00FC693F"/>
    <w:pPr>
      <w:keepNext/>
      <w:keepLines/>
      <w:spacing w:after="80" w:before="200" w:line="252" w:lineRule="auto"/>
      <w:outlineLvl w:val="2"/>
    </w:pPr>
    <w:rPr>
      <w:rFonts w:ascii="DejaVu Sans" w:asciiTheme="majorHAnsi" w:cstheme="majorBidi" w:eastAsia="DejaVu Sans" w:eastAsiaTheme="majorEastAsia" w:hAnsi="DejaVu Sans" w:hAnsiTheme="majorHAnsi"/>
      <w:b/>
      <w:bCs/>
      <w:color w:val="17262A"/>
      <w:sz w:val="22"/>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200" w:before="0" w:line="240" w:lineRule="auto"/>
      <w:contextualSpacing/>
      <w:jc w:val="left"/>
    </w:pPr>
    <w:rPr>
      <w:rFonts w:ascii="DejaVu Sans" w:asciiTheme="majorHAnsi" w:cstheme="majorBidi" w:eastAsia="DejaVu Sans" w:eastAsiaTheme="majorEastAsia" w:hAnsi="DejaVu Sans" w:hAnsiTheme="majorHAnsi"/>
      <w:b/>
      <w:color w:val="17262A"/>
      <w:spacing w:val="5"/>
      <w:kern w:val="28"/>
      <w:sz w:val="58"/>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spacing w:after="400" w:before="0" w:line="259" w:lineRule="auto"/>
    </w:pPr>
    <w:rPr>
      <w:rFonts w:ascii="DejaVu Sans" w:asciiTheme="majorHAnsi" w:cstheme="majorBidi" w:eastAsia="DejaVu Sans" w:eastAsiaTheme="majorEastAsia" w:hAnsi="DejaVu Sans" w:hAnsiTheme="majorHAnsi"/>
      <w:b w:val="0"/>
      <w:i/>
      <w:iCs/>
      <w:color w:val="0D5B65"/>
      <w:spacing w:val="15"/>
      <w:sz w:val="30"/>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pPr>
      <w:spacing w:after="120" w:before="0" w:line="276" w:lineRule="auto"/>
      <w:ind w:left="397" w:right="227"/>
    </w:pPr>
    <w:rPr>
      <w:rFonts w:ascii="DejaVu Sans" w:eastAsia="DejaVu Sans" w:hAnsi="DejaVu Sans"/>
      <w:b w:val="0"/>
      <w:i/>
      <w:iCs/>
      <w:color w:val="0D5B65"/>
      <w:sz w:val="19"/>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after="160" w:before="0" w:line="240" w:lineRule="auto"/>
      <w:jc w:val="center"/>
    </w:pPr>
    <w:rPr>
      <w:rFonts w:ascii="DejaVu Sans" w:eastAsia="DejaVu Sans" w:hAnsi="DejaVu Sans"/>
      <w:b w:val="0"/>
      <w:bCs/>
      <w:color w:val="667B80"/>
      <w:sz w:val="16"/>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customStyle="1" w:styleId="Author" w:type="paragraph">
    <w:name w:val="Author"/>
    <w:pPr>
      <w:spacing w:after="80" w:before="0" w:line="283" w:lineRule="auto"/>
    </w:pPr>
    <w:rPr>
      <w:rFonts w:ascii="DejaVu Sans" w:eastAsia="DejaVu Sans" w:hAnsi="DejaVu Sans"/>
      <w:b/>
      <w:color w:val="8A641B"/>
      <w:sz w:val="20"/>
    </w:rPr>
  </w:style>
  <w:style w:customStyle="1" w:styleId="Date" w:type="paragraph">
    <w:name w:val="Date"/>
    <w:pPr>
      <w:spacing w:after="240" w:before="0" w:line="283" w:lineRule="auto"/>
    </w:pPr>
    <w:rPr>
      <w:rFonts w:ascii="DejaVu Sans" w:eastAsia="DejaVu Sans" w:hAnsi="DejaVu Sans"/>
      <w:b w:val="0"/>
      <w:color w:val="667B80"/>
      <w:sz w:val="18"/>
    </w:rPr>
  </w:style>
  <w:style w:customStyle="1" w:styleId="BlockText" w:type="paragraph">
    <w:name w:val="Block Text"/>
    <w:pPr>
      <w:spacing w:after="120" w:before="0" w:line="276" w:lineRule="auto"/>
    </w:pPr>
    <w:rPr>
      <w:rFonts w:ascii="DejaVu Sans" w:eastAsia="DejaVu Sans" w:hAnsi="DejaVu Sans"/>
      <w:b w:val="0"/>
      <w:color w:val="17262A"/>
      <w:sz w:val="19"/>
    </w:rPr>
  </w:style>
  <w:style w:customStyle="1" w:styleId="SourceCode" w:type="paragraph">
    <w:name w:val="Source Code"/>
    <w:pPr>
      <w:spacing w:after="80" w:before="0" w:line="240" w:lineRule="auto"/>
    </w:pPr>
    <w:rPr>
      <w:rFonts w:ascii="DejaVu Sans Mono" w:eastAsia="DejaVu Sans Mono" w:hAnsi="DejaVu Sans Mono"/>
      <w:b w:val="0"/>
      <w:color w:val="17262A"/>
      <w:sz w:val="17"/>
    </w:r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110" Type="http://schemas.openxmlformats.org/officeDocument/2006/relationships/image" Target="media/rId110.png"/><Relationship Id="rId115" Type="http://schemas.openxmlformats.org/officeDocument/2006/relationships/image" Target="media/rId115.png"/><Relationship Id="rId179" Type="http://schemas.openxmlformats.org/officeDocument/2006/relationships/hyperlink" Target="https://answersingenesis.org/genesis/what-language-did-adam-speak/" TargetMode="External"/><Relationship Id="rId139" Type="http://schemas.openxmlformats.org/officeDocument/2006/relationships/hyperlink" Target="https://assets.cambridge.org/97805218/65333/excerpt/9780521865333_excerpt.pdf" TargetMode="External"/><Relationship Id="rId152" Type="http://schemas.openxmlformats.org/officeDocument/2006/relationships/hyperlink" Target="https://brill.com/display/title/54039" TargetMode="External"/><Relationship Id="rId136" Type="http://schemas.openxmlformats.org/officeDocument/2006/relationships/hyperlink" Target="https://doi.org/10.1002/9780470756393.ch1" TargetMode="External"/><Relationship Id="rId162" Type="http://schemas.openxmlformats.org/officeDocument/2006/relationships/hyperlink" Target="https://doi.org/10.1017/9781108859240" TargetMode="External"/><Relationship Id="rId150" Type="http://schemas.openxmlformats.org/officeDocument/2006/relationships/hyperlink" Target="https://doi.org/10.1017/9781316135716.027" TargetMode="External"/><Relationship Id="rId160" Type="http://schemas.openxmlformats.org/officeDocument/2006/relationships/hyperlink" Target="https://doi.org/10.1017/CBO9780511486890" TargetMode="External"/><Relationship Id="rId145" Type="http://schemas.openxmlformats.org/officeDocument/2006/relationships/hyperlink" Target="https://doi.org/10.1017/CBO9781139033671.004" TargetMode="External"/><Relationship Id="rId134" Type="http://schemas.openxmlformats.org/officeDocument/2006/relationships/hyperlink" Target="https://doi.org/10.1017/S0003598X00101188" TargetMode="External"/><Relationship Id="rId158" Type="http://schemas.openxmlformats.org/officeDocument/2006/relationships/hyperlink" Target="https://doi.org/10.1086/723458" TargetMode="External"/><Relationship Id="rId165" Type="http://schemas.openxmlformats.org/officeDocument/2006/relationships/hyperlink" Target="https://doi.org/10.1093/oso/9780190062545.001.0001" TargetMode="External"/><Relationship Id="rId133" Type="http://schemas.openxmlformats.org/officeDocument/2006/relationships/hyperlink" Target="https://doi.org/10.1098/rstb.2010.0378" TargetMode="External"/><Relationship Id="rId149" Type="http://schemas.openxmlformats.org/officeDocument/2006/relationships/hyperlink" Target="https://doi.org/10.1111/j.1749-818X.2007.00044.x" TargetMode="External"/><Relationship Id="rId175" Type="http://schemas.openxmlformats.org/officeDocument/2006/relationships/hyperlink" Target="https://doi.org/10.1126/science.adq8303" TargetMode="External"/><Relationship Id="rId169" Type="http://schemas.openxmlformats.org/officeDocument/2006/relationships/hyperlink" Target="https://doi.org/10.1163/27725472-08901003" TargetMode="External"/><Relationship Id="rId166" Type="http://schemas.openxmlformats.org/officeDocument/2006/relationships/hyperlink" Target="https://doi.org/10.1179/1759753613Z.00000000021" TargetMode="External"/><Relationship Id="rId157" Type="http://schemas.openxmlformats.org/officeDocument/2006/relationships/hyperlink" Target="https://doi.org/10.1628/219222713X13757034787838" TargetMode="External"/><Relationship Id="rId153" Type="http://schemas.openxmlformats.org/officeDocument/2006/relationships/hyperlink" Target="https://doi.org/10.23993/store.98387" TargetMode="External"/><Relationship Id="rId176" Type="http://schemas.openxmlformats.org/officeDocument/2006/relationships/hyperlink" Target="https://doi.org/10.3389/fpsyg.2025.1503900" TargetMode="External"/><Relationship Id="rId132" Type="http://schemas.openxmlformats.org/officeDocument/2006/relationships/hyperlink" Target="https://doi.org/10.3765/bls.v36i1.3900" TargetMode="External"/><Relationship Id="rId143" Type="http://schemas.openxmlformats.org/officeDocument/2006/relationships/hyperlink" Target="https://doi.org/10.4324/9780429025563" TargetMode="External"/><Relationship Id="rId154" Type="http://schemas.openxmlformats.org/officeDocument/2006/relationships/hyperlink" Target="https://doi.org/10.4324/9780429025563-20" TargetMode="External"/><Relationship Id="rId144" Type="http://schemas.openxmlformats.org/officeDocument/2006/relationships/hyperlink" Target="https://doi.org/10.4324/9780429025563-3" TargetMode="External"/><Relationship Id="rId148" Type="http://schemas.openxmlformats.org/officeDocument/2006/relationships/hyperlink" Target="https://doi.org/10.7817/jameroriesoci.138.4.0781" TargetMode="External"/><Relationship Id="rId138" Type="http://schemas.openxmlformats.org/officeDocument/2006/relationships/hyperlink" Target="https://eng.hebrew-academy.org.il/overview-of-hebrew/hebrew-through-the-ages/" TargetMode="External"/><Relationship Id="rId140" Type="http://schemas.openxmlformats.org/officeDocument/2006/relationships/hyperlink" Target="https://glottolog.org/resource/languoid/id/afro1255" TargetMode="External"/><Relationship Id="rId142" Type="http://schemas.openxmlformats.org/officeDocument/2006/relationships/hyperlink" Target="https://glottolog.org/resource/languoid/id/anci1244" TargetMode="External"/><Relationship Id="rId141" Type="http://schemas.openxmlformats.org/officeDocument/2006/relationships/hyperlink" Target="https://glottolog.org/resource/languoid/id/cana1267" TargetMode="External"/><Relationship Id="rId135" Type="http://schemas.openxmlformats.org/officeDocument/2006/relationships/hyperlink" Target="https://journals.linguisticsociety.org/proceedings/index.php/amphonology/article/download/5168/4837/9787" TargetMode="External"/><Relationship Id="rId168" Type="http://schemas.openxmlformats.org/officeDocument/2006/relationships/hyperlink" Target="https://law.tau.ac.il/sites/law.tau.ac.il/files/media_server/law_heb/dine_israel/published/published_%D7%9B%D7%97/fraade.pdf" TargetMode="External"/><Relationship Id="rId159" Type="http://schemas.openxmlformats.org/officeDocument/2006/relationships/hyperlink" Target="https://lockwoodonlinejournals.com/index.php/jaos/article/view/680" TargetMode="External"/><Relationship Id="rId161" Type="http://schemas.openxmlformats.org/officeDocument/2006/relationships/hyperlink" Target="https://oi-idb-static.uchicago.edu/multimedia/81/OIMP%2032%20-%20Woods%2C%20Chris%20-%20Visible%20Language.pdf" TargetMode="External"/><Relationship Id="rId171" Type="http://schemas.openxmlformats.org/officeDocument/2006/relationships/hyperlink" Target="https://ora.ox.ac.uk/objects/uuid%3A55e7fd1a-264b-4e7c-9907-f88f58b96751" TargetMode="External"/><Relationship Id="rId177" Type="http://schemas.openxmlformats.org/officeDocument/2006/relationships/hyperlink" Target="https://pmc.ncbi.nlm.nih.gov/articles/PMC5525259/" TargetMode="External"/><Relationship Id="rId147" Type="http://schemas.openxmlformats.org/officeDocument/2006/relationships/hyperlink" Target="https://sites.utexas.edu/scripts/wp-content/uploads/sites/3428/2020/10/2016-AWWwPat-El-The-Features-of-Canaanite.pdf" TargetMode="External"/><Relationship Id="rId167" Type="http://schemas.openxmlformats.org/officeDocument/2006/relationships/hyperlink" Target="https://uu.diva-portal.org/smash/person.jsf?pid=authority-person%3A15117" TargetMode="External"/><Relationship Id="rId180" Type="http://schemas.openxmlformats.org/officeDocument/2006/relationships/hyperlink" Target="https://www.asor.org/anetoday/2017/04/hebrew-first-alphabet" TargetMode="External"/><Relationship Id="rId156" Type="http://schemas.openxmlformats.org/officeDocument/2006/relationships/hyperlink" Target="https://www.cambridge.org/core/books/ancient-egyptian-language/14E97ED77944CF3F4D5E79132161937F" TargetMode="External"/><Relationship Id="rId151" Type="http://schemas.openxmlformats.org/officeDocument/2006/relationships/hyperlink" Target="https://www.cambridge.org/core/books/history-of-the-hebrew-language/D0DA01BEBF2C4A788904534B1D8240B7" TargetMode="External"/><Relationship Id="rId164" Type="http://schemas.openxmlformats.org/officeDocument/2006/relationships/hyperlink" Target="https://www.gutenberg.org/files/45305/45305-h/45305-h.htm" TargetMode="External"/><Relationship Id="rId172" Type="http://schemas.openxmlformats.org/officeDocument/2006/relationships/hyperlink" Target="https://www.sefaria.org/Bereshit_Rabbah.18.4" TargetMode="External"/><Relationship Id="rId173" Type="http://schemas.openxmlformats.org/officeDocument/2006/relationships/hyperlink" Target="https://www.sefaria.org/Sanhedrin.38b" TargetMode="External"/><Relationship Id="rId146" Type="http://schemas.openxmlformats.org/officeDocument/2006/relationships/hyperlink" Target="https://www.ub.edu/ipoa/wp-content/uploads/2021/09/200512AuOr07Kogan.pdf" TargetMode="External"/><Relationship Id="rId170" Type="http://schemas.openxmlformats.org/officeDocument/2006/relationships/hyperlink" Target="https://yalebooks.yale.edu/book/9780300149739/genesis-1-11/" TargetMode="External"/><Relationship Id="rId9" Type="http://schemas.openxmlformats.org/officeDocument/2006/relationships/header" Target="header1.xml"/><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179" Type="http://schemas.openxmlformats.org/officeDocument/2006/relationships/hyperlink" Target="https://answersingenesis.org/genesis/what-language-did-adam-speak/" TargetMode="External"/><Relationship Id="rId139" Type="http://schemas.openxmlformats.org/officeDocument/2006/relationships/hyperlink" Target="https://assets.cambridge.org/97805218/65333/excerpt/9780521865333_excerpt.pdf" TargetMode="External"/><Relationship Id="rId152" Type="http://schemas.openxmlformats.org/officeDocument/2006/relationships/hyperlink" Target="https://brill.com/display/title/54039" TargetMode="External"/><Relationship Id="rId136" Type="http://schemas.openxmlformats.org/officeDocument/2006/relationships/hyperlink" Target="https://doi.org/10.1002/9780470756393.ch1" TargetMode="External"/><Relationship Id="rId162" Type="http://schemas.openxmlformats.org/officeDocument/2006/relationships/hyperlink" Target="https://doi.org/10.1017/9781108859240" TargetMode="External"/><Relationship Id="rId150" Type="http://schemas.openxmlformats.org/officeDocument/2006/relationships/hyperlink" Target="https://doi.org/10.1017/9781316135716.027" TargetMode="External"/><Relationship Id="rId160" Type="http://schemas.openxmlformats.org/officeDocument/2006/relationships/hyperlink" Target="https://doi.org/10.1017/CBO9780511486890" TargetMode="External"/><Relationship Id="rId145" Type="http://schemas.openxmlformats.org/officeDocument/2006/relationships/hyperlink" Target="https://doi.org/10.1017/CBO9781139033671.004" TargetMode="External"/><Relationship Id="rId134" Type="http://schemas.openxmlformats.org/officeDocument/2006/relationships/hyperlink" Target="https://doi.org/10.1017/S0003598X00101188" TargetMode="External"/><Relationship Id="rId158" Type="http://schemas.openxmlformats.org/officeDocument/2006/relationships/hyperlink" Target="https://doi.org/10.1086/723458" TargetMode="External"/><Relationship Id="rId165" Type="http://schemas.openxmlformats.org/officeDocument/2006/relationships/hyperlink" Target="https://doi.org/10.1093/oso/9780190062545.001.0001" TargetMode="External"/><Relationship Id="rId133" Type="http://schemas.openxmlformats.org/officeDocument/2006/relationships/hyperlink" Target="https://doi.org/10.1098/rstb.2010.0378" TargetMode="External"/><Relationship Id="rId149" Type="http://schemas.openxmlformats.org/officeDocument/2006/relationships/hyperlink" Target="https://doi.org/10.1111/j.1749-818X.2007.00044.x" TargetMode="External"/><Relationship Id="rId175" Type="http://schemas.openxmlformats.org/officeDocument/2006/relationships/hyperlink" Target="https://doi.org/10.1126/science.adq8303" TargetMode="External"/><Relationship Id="rId169" Type="http://schemas.openxmlformats.org/officeDocument/2006/relationships/hyperlink" Target="https://doi.org/10.1163/27725472-08901003" TargetMode="External"/><Relationship Id="rId166" Type="http://schemas.openxmlformats.org/officeDocument/2006/relationships/hyperlink" Target="https://doi.org/10.1179/1759753613Z.00000000021" TargetMode="External"/><Relationship Id="rId157" Type="http://schemas.openxmlformats.org/officeDocument/2006/relationships/hyperlink" Target="https://doi.org/10.1628/219222713X13757034787838" TargetMode="External"/><Relationship Id="rId153" Type="http://schemas.openxmlformats.org/officeDocument/2006/relationships/hyperlink" Target="https://doi.org/10.23993/store.98387" TargetMode="External"/><Relationship Id="rId176" Type="http://schemas.openxmlformats.org/officeDocument/2006/relationships/hyperlink" Target="https://doi.org/10.3389/fpsyg.2025.1503900" TargetMode="External"/><Relationship Id="rId132" Type="http://schemas.openxmlformats.org/officeDocument/2006/relationships/hyperlink" Target="https://doi.org/10.3765/bls.v36i1.3900" TargetMode="External"/><Relationship Id="rId143" Type="http://schemas.openxmlformats.org/officeDocument/2006/relationships/hyperlink" Target="https://doi.org/10.4324/9780429025563" TargetMode="External"/><Relationship Id="rId154" Type="http://schemas.openxmlformats.org/officeDocument/2006/relationships/hyperlink" Target="https://doi.org/10.4324/9780429025563-20" TargetMode="External"/><Relationship Id="rId144" Type="http://schemas.openxmlformats.org/officeDocument/2006/relationships/hyperlink" Target="https://doi.org/10.4324/9780429025563-3" TargetMode="External"/><Relationship Id="rId148" Type="http://schemas.openxmlformats.org/officeDocument/2006/relationships/hyperlink" Target="https://doi.org/10.7817/jameroriesoci.138.4.0781" TargetMode="External"/><Relationship Id="rId138" Type="http://schemas.openxmlformats.org/officeDocument/2006/relationships/hyperlink" Target="https://eng.hebrew-academy.org.il/overview-of-hebrew/hebrew-through-the-ages/" TargetMode="External"/><Relationship Id="rId140" Type="http://schemas.openxmlformats.org/officeDocument/2006/relationships/hyperlink" Target="https://glottolog.org/resource/languoid/id/afro1255" TargetMode="External"/><Relationship Id="rId142" Type="http://schemas.openxmlformats.org/officeDocument/2006/relationships/hyperlink" Target="https://glottolog.org/resource/languoid/id/anci1244" TargetMode="External"/><Relationship Id="rId141" Type="http://schemas.openxmlformats.org/officeDocument/2006/relationships/hyperlink" Target="https://glottolog.org/resource/languoid/id/cana1267" TargetMode="External"/><Relationship Id="rId135" Type="http://schemas.openxmlformats.org/officeDocument/2006/relationships/hyperlink" Target="https://journals.linguisticsociety.org/proceedings/index.php/amphonology/article/download/5168/4837/9787" TargetMode="External"/><Relationship Id="rId168" Type="http://schemas.openxmlformats.org/officeDocument/2006/relationships/hyperlink" Target="https://law.tau.ac.il/sites/law.tau.ac.il/files/media_server/law_heb/dine_israel/published/published_%D7%9B%D7%97/fraade.pdf" TargetMode="External"/><Relationship Id="rId159" Type="http://schemas.openxmlformats.org/officeDocument/2006/relationships/hyperlink" Target="https://lockwoodonlinejournals.com/index.php/jaos/article/view/680" TargetMode="External"/><Relationship Id="rId161" Type="http://schemas.openxmlformats.org/officeDocument/2006/relationships/hyperlink" Target="https://oi-idb-static.uchicago.edu/multimedia/81/OIMP%2032%20-%20Woods%2C%20Chris%20-%20Visible%20Language.pdf" TargetMode="External"/><Relationship Id="rId171" Type="http://schemas.openxmlformats.org/officeDocument/2006/relationships/hyperlink" Target="https://ora.ox.ac.uk/objects/uuid%3A55e7fd1a-264b-4e7c-9907-f88f58b96751" TargetMode="External"/><Relationship Id="rId177" Type="http://schemas.openxmlformats.org/officeDocument/2006/relationships/hyperlink" Target="https://pmc.ncbi.nlm.nih.gov/articles/PMC5525259/" TargetMode="External"/><Relationship Id="rId147" Type="http://schemas.openxmlformats.org/officeDocument/2006/relationships/hyperlink" Target="https://sites.utexas.edu/scripts/wp-content/uploads/sites/3428/2020/10/2016-AWWwPat-El-The-Features-of-Canaanite.pdf" TargetMode="External"/><Relationship Id="rId167" Type="http://schemas.openxmlformats.org/officeDocument/2006/relationships/hyperlink" Target="https://uu.diva-portal.org/smash/person.jsf?pid=authority-person%3A15117" TargetMode="External"/><Relationship Id="rId180" Type="http://schemas.openxmlformats.org/officeDocument/2006/relationships/hyperlink" Target="https://www.asor.org/anetoday/2017/04/hebrew-first-alphabet" TargetMode="External"/><Relationship Id="rId156" Type="http://schemas.openxmlformats.org/officeDocument/2006/relationships/hyperlink" Target="https://www.cambridge.org/core/books/ancient-egyptian-language/14E97ED77944CF3F4D5E79132161937F" TargetMode="External"/><Relationship Id="rId151" Type="http://schemas.openxmlformats.org/officeDocument/2006/relationships/hyperlink" Target="https://www.cambridge.org/core/books/history-of-the-hebrew-language/D0DA01BEBF2C4A788904534B1D8240B7" TargetMode="External"/><Relationship Id="rId164" Type="http://schemas.openxmlformats.org/officeDocument/2006/relationships/hyperlink" Target="https://www.gutenberg.org/files/45305/45305-h/45305-h.htm" TargetMode="External"/><Relationship Id="rId172" Type="http://schemas.openxmlformats.org/officeDocument/2006/relationships/hyperlink" Target="https://www.sefaria.org/Bereshit_Rabbah.18.4" TargetMode="External"/><Relationship Id="rId173" Type="http://schemas.openxmlformats.org/officeDocument/2006/relationships/hyperlink" Target="https://www.sefaria.org/Sanhedrin.38b" TargetMode="External"/><Relationship Id="rId146" Type="http://schemas.openxmlformats.org/officeDocument/2006/relationships/hyperlink" Target="https://www.ub.edu/ipoa/wp-content/uploads/2021/09/200512AuOr07Kogan.pdf" TargetMode="External"/><Relationship Id="rId170" Type="http://schemas.openxmlformats.org/officeDocument/2006/relationships/hyperlink" Target="https://yalebooks.yale.edu/book/9780300149739/genesis-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HEBRAICO É A LÍNGUA ORIGINAL DA HUMANIDADE?</dc:title>
  <dc:creator>A Bíblia em Análise — David Tetzlaff</dc:creator>
  <dc:language>pt-BR</dc:language>
  <cp:keywords/>
  <dcterms:created xsi:type="dcterms:W3CDTF">2026-08-08T20:56:57Z</dcterms:created>
  <dcterms:modified xsi:type="dcterms:W3CDTF">2026-08-08T20:56:57Z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Edição de pesquisa — agosto de 2026</vt:lpwstr>
  </property>
  <property fmtid="{D5CDD505-2E9C-101B-9397-08002B2CF9AE}" pid="3" name="subtitle">
    <vt:lpwstr>Dossiê acadêmico de linguística histórica, filologia semítica, epigrafia e história intelectual</vt:lpwstr>
  </property>
  <property fmtid="{D5CDD505-2E9C-101B-9397-08002B2CF9AE}" pid="4" name="toc-title">
    <vt:lpwstr>SUMÁRIO</vt:lpwstr>
  </property>
</Properties>
</file>